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2D0453" w14:textId="77777777" w:rsidR="001B36F0" w:rsidRDefault="001B5976">
      <w:pPr>
        <w:pStyle w:val="Textbody"/>
        <w:spacing w:after="0" w:line="442" w:lineRule="exact"/>
        <w:ind w:left="28" w:right="28"/>
        <w:jc w:val="center"/>
        <w:rPr>
          <w:rFonts w:eastAsia="Times New Roman" w:cs="Times New Roman"/>
          <w:b/>
          <w:bCs/>
          <w:smallCaps/>
        </w:rPr>
      </w:pPr>
      <w:r>
        <w:rPr>
          <w:rFonts w:eastAsia="Times New Roman" w:cs="Times New Roman"/>
          <w:b/>
          <w:bCs/>
          <w:smallCaps/>
        </w:rPr>
        <w:t>tribunale di Reggio Emilia</w:t>
      </w:r>
    </w:p>
    <w:p w14:paraId="600BCB54" w14:textId="77777777" w:rsidR="001B36F0" w:rsidRDefault="001B5976">
      <w:pPr>
        <w:pStyle w:val="Textbody"/>
        <w:autoSpaceDE w:val="0"/>
        <w:spacing w:after="0" w:line="442" w:lineRule="exact"/>
        <w:ind w:left="28" w:right="28"/>
        <w:jc w:val="center"/>
      </w:pPr>
      <w:r>
        <w:rPr>
          <w:rFonts w:eastAsia="Times New Roman" w:cs="Times New Roman"/>
          <w:b/>
          <w:bCs/>
          <w:smallCaps/>
        </w:rPr>
        <w:t xml:space="preserve">Esecuzione Immobiliare N. </w:t>
      </w:r>
      <w:r>
        <w:rPr>
          <w:rFonts w:eastAsia="Times New Roman" w:cs="Times New Roman"/>
          <w:b/>
          <w:bCs/>
          <w:smallCaps/>
          <w:sz w:val="30"/>
          <w:szCs w:val="30"/>
          <w:u w:val="single"/>
        </w:rPr>
        <w:tab/>
      </w:r>
      <w:r>
        <w:rPr>
          <w:rFonts w:eastAsia="Times New Roman" w:cs="Times New Roman"/>
          <w:b/>
          <w:bCs/>
          <w:smallCaps/>
          <w:sz w:val="30"/>
          <w:szCs w:val="30"/>
          <w:u w:val="single"/>
        </w:rPr>
        <w:tab/>
        <w:t>/</w:t>
      </w:r>
      <w:r>
        <w:rPr>
          <w:rFonts w:eastAsia="Times New Roman" w:cs="Times New Roman"/>
          <w:b/>
          <w:bCs/>
          <w:smallCaps/>
          <w:sz w:val="30"/>
          <w:szCs w:val="30"/>
          <w:u w:val="single"/>
        </w:rPr>
        <w:tab/>
      </w:r>
      <w:r>
        <w:rPr>
          <w:rFonts w:eastAsia="Times New Roman" w:cs="Times New Roman"/>
          <w:b/>
          <w:bCs/>
          <w:smallCaps/>
          <w:sz w:val="30"/>
          <w:szCs w:val="30"/>
          <w:u w:val="single"/>
        </w:rPr>
        <w:tab/>
      </w:r>
      <w:r>
        <w:rPr>
          <w:rFonts w:eastAsia="Times New Roman" w:cs="Times New Roman"/>
          <w:b/>
          <w:bCs/>
          <w:smallCaps/>
          <w:sz w:val="40"/>
          <w:szCs w:val="40"/>
        </w:rPr>
        <w:t xml:space="preserve"> </w:t>
      </w:r>
      <w:r>
        <w:rPr>
          <w:rFonts w:eastAsia="Times New Roman" w:cs="Times New Roman"/>
          <w:b/>
          <w:bCs/>
          <w:smallCaps/>
        </w:rPr>
        <w:t>R.G. Esecuzioni</w:t>
      </w:r>
    </w:p>
    <w:p w14:paraId="3F8433ED" w14:textId="77777777" w:rsidR="001B36F0" w:rsidRDefault="001B5976">
      <w:pPr>
        <w:pStyle w:val="Textbody"/>
        <w:autoSpaceDE w:val="0"/>
        <w:spacing w:after="0" w:line="442" w:lineRule="exact"/>
        <w:ind w:left="28" w:right="28"/>
        <w:jc w:val="center"/>
        <w:rPr>
          <w:rFonts w:eastAsia="Times New Roman" w:cs="Times New Roman"/>
          <w:b/>
          <w:bCs/>
          <w:u w:val="single"/>
        </w:rPr>
      </w:pPr>
      <w:r>
        <w:rPr>
          <w:rFonts w:eastAsia="Times New Roman" w:cs="Times New Roman"/>
          <w:b/>
          <w:bCs/>
          <w:u w:val="single"/>
        </w:rPr>
        <w:t>Avviso di vendita giudiziaria</w:t>
      </w:r>
    </w:p>
    <w:p w14:paraId="4DC8DFD7" w14:textId="03A3778D" w:rsidR="001B36F0" w:rsidRDefault="001B5976">
      <w:pPr>
        <w:pStyle w:val="Textbody"/>
        <w:autoSpaceDE w:val="0"/>
        <w:spacing w:after="0" w:line="442" w:lineRule="exact"/>
        <w:ind w:left="28" w:right="28"/>
        <w:jc w:val="both"/>
      </w:pPr>
      <w:r>
        <w:rPr>
          <w:rFonts w:eastAsia="Times New Roman" w:cs="Times New Roman"/>
        </w:rPr>
        <w:t>Il sottoscritto Dr.</w:t>
      </w:r>
      <w:r>
        <w:rPr>
          <w:rFonts w:eastAsia="Times New Roman" w:cs="Times New Roman"/>
          <w:b/>
          <w:bCs/>
        </w:rPr>
        <w:t xml:space="preserve"> </w:t>
      </w:r>
      <w:r>
        <w:rPr>
          <w:rFonts w:eastAsia="Times New Roman" w:cs="Times New Roman"/>
          <w:b/>
          <w:bCs/>
        </w:rPr>
        <w:tab/>
      </w:r>
      <w:r>
        <w:rPr>
          <w:rFonts w:eastAsia="Times New Roman" w:cs="Times New Roman"/>
          <w:b/>
          <w:bCs/>
        </w:rPr>
        <w:tab/>
      </w:r>
      <w:r>
        <w:rPr>
          <w:rFonts w:eastAsia="Times New Roman" w:cs="Times New Roman"/>
          <w:b/>
          <w:bCs/>
        </w:rPr>
        <w:tab/>
      </w:r>
      <w:r>
        <w:rPr>
          <w:rFonts w:eastAsia="Times New Roman" w:cs="Times New Roman"/>
          <w:b/>
          <w:bCs/>
        </w:rPr>
        <w:tab/>
        <w:t xml:space="preserve">, </w:t>
      </w:r>
      <w:r>
        <w:rPr>
          <w:rFonts w:eastAsia="Times New Roman" w:cs="Times New Roman"/>
        </w:rPr>
        <w:t xml:space="preserve">delegato alle operazioni di vendita di cui alla procedura esecutiva in epigrafe dal Giudice dell’Esecuzione Dottoressa </w:t>
      </w:r>
      <w:r>
        <w:rPr>
          <w:rFonts w:eastAsia="Times New Roman" w:cs="Times New Roman"/>
        </w:rPr>
        <w:tab/>
      </w:r>
      <w:r>
        <w:rPr>
          <w:rFonts w:eastAsia="Times New Roman" w:cs="Times New Roman"/>
        </w:rPr>
        <w:tab/>
      </w:r>
      <w:r>
        <w:rPr>
          <w:rFonts w:eastAsia="Times New Roman" w:cs="Times New Roman"/>
        </w:rPr>
        <w:tab/>
      </w:r>
      <w:r>
        <w:rPr>
          <w:rFonts w:eastAsia="Times New Roman" w:cs="Times New Roman"/>
        </w:rPr>
        <w:tab/>
      </w:r>
      <w:r>
        <w:rPr>
          <w:rFonts w:eastAsia="Times New Roman" w:cs="Times New Roman"/>
        </w:rPr>
        <w:tab/>
        <w:t xml:space="preserve">, in data </w:t>
      </w:r>
      <w:r>
        <w:rPr>
          <w:rFonts w:eastAsia="Times New Roman" w:cs="Times New Roman"/>
        </w:rPr>
        <w:tab/>
      </w:r>
      <w:r>
        <w:rPr>
          <w:rFonts w:eastAsia="Times New Roman" w:cs="Times New Roman"/>
        </w:rPr>
        <w:tab/>
      </w:r>
      <w:r>
        <w:rPr>
          <w:rFonts w:eastAsia="Times New Roman" w:cs="Times New Roman"/>
        </w:rPr>
        <w:tab/>
      </w:r>
      <w:r>
        <w:rPr>
          <w:rFonts w:eastAsia="Times New Roman" w:cs="Times New Roman"/>
        </w:rPr>
        <w:tab/>
        <w:t>, rende noto quanto segue.</w:t>
      </w:r>
    </w:p>
    <w:p w14:paraId="2E4025A8" w14:textId="77777777" w:rsidR="001B36F0" w:rsidRDefault="001B5976">
      <w:pPr>
        <w:pStyle w:val="Textbody"/>
        <w:autoSpaceDE w:val="0"/>
        <w:spacing w:after="0" w:line="442" w:lineRule="exact"/>
        <w:ind w:left="28" w:right="28"/>
        <w:jc w:val="both"/>
        <w:rPr>
          <w:rFonts w:eastAsia="Times New Roman" w:cs="Times New Roman"/>
        </w:rPr>
      </w:pPr>
      <w:r>
        <w:rPr>
          <w:rFonts w:eastAsia="Times New Roman" w:cs="Times New Roman"/>
        </w:rPr>
        <w:t>Sono stati posti in vendita i seguenti beni immobili:</w:t>
      </w:r>
    </w:p>
    <w:p w14:paraId="6DF15CBE" w14:textId="77777777" w:rsidR="001B36F0" w:rsidRDefault="001B5976">
      <w:pPr>
        <w:pStyle w:val="Textbody"/>
        <w:autoSpaceDE w:val="0"/>
        <w:spacing w:after="0" w:line="442" w:lineRule="exact"/>
        <w:ind w:left="28" w:right="28"/>
        <w:jc w:val="center"/>
        <w:rPr>
          <w:rFonts w:eastAsia="Times New Roman" w:cs="Times New Roman"/>
          <w:b/>
          <w:bCs/>
          <w:sz w:val="30"/>
          <w:szCs w:val="30"/>
          <w:u w:val="single"/>
        </w:rPr>
      </w:pPr>
      <w:r>
        <w:rPr>
          <w:rFonts w:eastAsia="Times New Roman" w:cs="Times New Roman"/>
          <w:b/>
          <w:bCs/>
          <w:sz w:val="30"/>
          <w:szCs w:val="30"/>
          <w:u w:val="single"/>
        </w:rPr>
        <w:t>Lotto unico</w:t>
      </w:r>
    </w:p>
    <w:p w14:paraId="5F7FE67F" w14:textId="77777777" w:rsidR="001B36F0" w:rsidRDefault="001B5976">
      <w:pPr>
        <w:pStyle w:val="Standard"/>
        <w:spacing w:line="442" w:lineRule="exact"/>
        <w:ind w:left="28" w:right="28"/>
        <w:jc w:val="center"/>
        <w:rPr>
          <w:rFonts w:cs="Times New Roman"/>
          <w:b/>
          <w:bCs/>
          <w:u w:val="single"/>
        </w:rPr>
      </w:pPr>
      <w:r>
        <w:rPr>
          <w:rFonts w:cs="Times New Roman"/>
          <w:b/>
          <w:bCs/>
          <w:u w:val="single"/>
        </w:rPr>
        <w:t>DESCRIZIONE DEGLI IMMOBILI</w:t>
      </w:r>
    </w:p>
    <w:p w14:paraId="48BA918B" w14:textId="77777777" w:rsidR="001B36F0" w:rsidRDefault="001B5976">
      <w:pPr>
        <w:pStyle w:val="Standard"/>
        <w:spacing w:line="442" w:lineRule="exact"/>
        <w:ind w:left="28" w:right="28"/>
        <w:jc w:val="center"/>
        <w:rPr>
          <w:rFonts w:cs="Times New Roman"/>
          <w:b/>
          <w:bCs/>
          <w:u w:val="single"/>
        </w:rPr>
      </w:pPr>
      <w:r>
        <w:rPr>
          <w:rFonts w:cs="Times New Roman"/>
          <w:b/>
          <w:bCs/>
          <w:u w:val="single"/>
        </w:rPr>
        <w:t xml:space="preserve">(NELLA CONSISTENZA INDICATA NELLA PERIZIA DI STIMA REDATTA DAL GEOM. </w:t>
      </w:r>
    </w:p>
    <w:p w14:paraId="386E618E" w14:textId="77777777" w:rsidR="001B36F0" w:rsidRDefault="001B5976">
      <w:pPr>
        <w:pStyle w:val="Standard"/>
        <w:spacing w:line="442" w:lineRule="exact"/>
        <w:ind w:left="28" w:right="28"/>
        <w:jc w:val="center"/>
      </w:pPr>
      <w:r>
        <w:rPr>
          <w:rFonts w:cs="Times New Roman"/>
          <w:b/>
          <w:bCs/>
          <w:u w:val="single"/>
        </w:rPr>
        <w:t xml:space="preserve">che si intende quivi </w:t>
      </w:r>
      <w:r>
        <w:rPr>
          <w:rFonts w:cs="Times New Roman"/>
          <w:b/>
          <w:bCs/>
          <w:u w:val="single"/>
        </w:rPr>
        <w:t>integralmente richiamata)</w:t>
      </w:r>
    </w:p>
    <w:p w14:paraId="7DA1592D" w14:textId="77777777" w:rsidR="001B36F0" w:rsidRDefault="001B5976">
      <w:pPr>
        <w:pStyle w:val="Default"/>
        <w:widowControl w:val="0"/>
        <w:spacing w:line="442" w:lineRule="exact"/>
        <w:ind w:left="28" w:right="28"/>
        <w:jc w:val="both"/>
      </w:pPr>
      <w:bookmarkStart w:id="0" w:name="_Hlk134601897"/>
      <w:r>
        <w:t xml:space="preserve">In Comune di </w:t>
      </w:r>
      <w:r>
        <w:tab/>
      </w:r>
      <w:r>
        <w:tab/>
      </w:r>
      <w:r>
        <w:tab/>
        <w:t xml:space="preserve">, Via </w:t>
      </w:r>
      <w:r>
        <w:tab/>
      </w:r>
      <w:r>
        <w:tab/>
      </w:r>
      <w:r>
        <w:tab/>
      </w:r>
      <w:r>
        <w:tab/>
        <w:t xml:space="preserve"> n. </w:t>
      </w:r>
      <w:r>
        <w:tab/>
      </w:r>
      <w:bookmarkEnd w:id="0"/>
      <w:r>
        <w:t xml:space="preserve">, </w:t>
      </w:r>
      <w:r>
        <w:rPr>
          <w:b/>
          <w:bCs/>
        </w:rPr>
        <w:t xml:space="preserve">piena proprietà </w:t>
      </w:r>
      <w:r>
        <w:t xml:space="preserve">di </w:t>
      </w:r>
    </w:p>
    <w:p w14:paraId="31E71653" w14:textId="77777777" w:rsidR="001B36F0" w:rsidRDefault="001B36F0">
      <w:pPr>
        <w:pStyle w:val="Default"/>
        <w:widowControl w:val="0"/>
        <w:spacing w:line="442" w:lineRule="exact"/>
        <w:ind w:left="28" w:right="28"/>
        <w:jc w:val="both"/>
      </w:pPr>
    </w:p>
    <w:p w14:paraId="0950351D" w14:textId="77777777" w:rsidR="001B36F0" w:rsidRDefault="001B36F0">
      <w:pPr>
        <w:pStyle w:val="Default"/>
        <w:widowControl w:val="0"/>
        <w:spacing w:line="442" w:lineRule="exact"/>
        <w:ind w:left="28" w:right="28"/>
        <w:jc w:val="both"/>
      </w:pPr>
    </w:p>
    <w:p w14:paraId="65124D89" w14:textId="77777777" w:rsidR="001B36F0" w:rsidRDefault="001B36F0">
      <w:pPr>
        <w:pStyle w:val="Default"/>
        <w:widowControl w:val="0"/>
        <w:spacing w:line="442" w:lineRule="exact"/>
        <w:ind w:left="28" w:right="28"/>
        <w:jc w:val="both"/>
      </w:pPr>
    </w:p>
    <w:p w14:paraId="0A355CDC" w14:textId="77777777" w:rsidR="001B36F0" w:rsidRDefault="001B5976">
      <w:pPr>
        <w:pStyle w:val="Default"/>
        <w:widowControl w:val="0"/>
        <w:spacing w:line="442" w:lineRule="exact"/>
        <w:ind w:left="28" w:right="28"/>
        <w:jc w:val="both"/>
      </w:pPr>
      <w:r>
        <w:rPr>
          <w:b/>
          <w:i/>
          <w:iCs/>
        </w:rPr>
        <w:t>Diritto reale pignorato:</w:t>
      </w:r>
      <w:r>
        <w:rPr>
          <w:i/>
          <w:iCs/>
        </w:rPr>
        <w:t xml:space="preserve"> </w:t>
      </w:r>
    </w:p>
    <w:p w14:paraId="3C382077" w14:textId="77777777" w:rsidR="001B36F0" w:rsidRDefault="001B5976">
      <w:pPr>
        <w:pStyle w:val="Default"/>
        <w:widowControl w:val="0"/>
        <w:spacing w:line="442" w:lineRule="exact"/>
        <w:ind w:left="28" w:right="28"/>
        <w:jc w:val="both"/>
      </w:pPr>
      <w:r>
        <w:rPr>
          <w:b/>
          <w:i/>
          <w:iCs/>
        </w:rPr>
        <w:t>Indirizzo:</w:t>
      </w:r>
      <w:r>
        <w:rPr>
          <w:i/>
          <w:iCs/>
        </w:rPr>
        <w:t xml:space="preserve"> </w:t>
      </w:r>
    </w:p>
    <w:p w14:paraId="50424614" w14:textId="77777777" w:rsidR="001B36F0" w:rsidRDefault="001B5976">
      <w:pPr>
        <w:pStyle w:val="Default"/>
        <w:widowControl w:val="0"/>
        <w:spacing w:line="442" w:lineRule="exact"/>
        <w:ind w:left="28" w:right="28"/>
        <w:jc w:val="both"/>
        <w:rPr>
          <w:b/>
          <w:i/>
          <w:iCs/>
        </w:rPr>
      </w:pPr>
      <w:r>
        <w:rPr>
          <w:b/>
          <w:i/>
          <w:iCs/>
        </w:rPr>
        <w:t>Estremi catastali:</w:t>
      </w:r>
    </w:p>
    <w:p w14:paraId="198746BC" w14:textId="77777777" w:rsidR="001B36F0" w:rsidRDefault="001B36F0">
      <w:pPr>
        <w:pStyle w:val="Default"/>
        <w:widowControl w:val="0"/>
        <w:spacing w:line="442" w:lineRule="exact"/>
        <w:ind w:left="28" w:right="28"/>
        <w:jc w:val="both"/>
        <w:rPr>
          <w:b/>
          <w:i/>
          <w:iCs/>
        </w:rPr>
      </w:pPr>
    </w:p>
    <w:p w14:paraId="75B14920" w14:textId="77777777" w:rsidR="001B36F0" w:rsidRDefault="001B36F0">
      <w:pPr>
        <w:pStyle w:val="Default"/>
        <w:widowControl w:val="0"/>
        <w:spacing w:line="442" w:lineRule="exact"/>
        <w:ind w:left="28" w:right="28"/>
        <w:jc w:val="both"/>
        <w:rPr>
          <w:b/>
          <w:i/>
          <w:iCs/>
        </w:rPr>
      </w:pPr>
    </w:p>
    <w:p w14:paraId="2D4F3E9F" w14:textId="77777777" w:rsidR="001B36F0" w:rsidRDefault="001B36F0">
      <w:pPr>
        <w:pStyle w:val="Default"/>
        <w:widowControl w:val="0"/>
        <w:spacing w:line="442" w:lineRule="exact"/>
        <w:ind w:left="28" w:right="28"/>
        <w:jc w:val="both"/>
        <w:rPr>
          <w:b/>
          <w:i/>
          <w:iCs/>
        </w:rPr>
      </w:pPr>
    </w:p>
    <w:p w14:paraId="5422261D" w14:textId="77777777" w:rsidR="001B36F0" w:rsidRDefault="001B36F0">
      <w:pPr>
        <w:pStyle w:val="Default"/>
        <w:widowControl w:val="0"/>
        <w:spacing w:line="442" w:lineRule="exact"/>
        <w:ind w:left="28" w:right="28"/>
        <w:jc w:val="both"/>
        <w:rPr>
          <w:b/>
          <w:i/>
          <w:iCs/>
        </w:rPr>
      </w:pPr>
    </w:p>
    <w:p w14:paraId="3D1D03E5" w14:textId="77777777" w:rsidR="001B36F0" w:rsidRDefault="001B5976">
      <w:pPr>
        <w:pStyle w:val="Default"/>
        <w:widowControl w:val="0"/>
        <w:spacing w:line="442" w:lineRule="exact"/>
        <w:ind w:left="28" w:right="28"/>
        <w:jc w:val="both"/>
        <w:rPr>
          <w:b/>
          <w:i/>
          <w:iCs/>
        </w:rPr>
      </w:pPr>
      <w:r>
        <w:rPr>
          <w:b/>
          <w:i/>
          <w:iCs/>
        </w:rPr>
        <w:t>Confini:</w:t>
      </w:r>
    </w:p>
    <w:p w14:paraId="1D2B4E79" w14:textId="77777777" w:rsidR="001B36F0" w:rsidRDefault="001B36F0">
      <w:pPr>
        <w:pStyle w:val="Default"/>
        <w:widowControl w:val="0"/>
        <w:spacing w:line="442" w:lineRule="exact"/>
        <w:ind w:left="28" w:right="28"/>
        <w:jc w:val="both"/>
        <w:rPr>
          <w:b/>
          <w:i/>
          <w:iCs/>
          <w:color w:val="00000A"/>
        </w:rPr>
      </w:pPr>
    </w:p>
    <w:p w14:paraId="216E291D" w14:textId="77777777" w:rsidR="001B36F0" w:rsidRDefault="001B36F0">
      <w:pPr>
        <w:pStyle w:val="Default"/>
        <w:widowControl w:val="0"/>
        <w:spacing w:line="442" w:lineRule="exact"/>
        <w:ind w:left="28" w:right="28"/>
        <w:jc w:val="both"/>
        <w:rPr>
          <w:b/>
          <w:i/>
          <w:iCs/>
          <w:color w:val="00000A"/>
        </w:rPr>
      </w:pPr>
    </w:p>
    <w:p w14:paraId="1A2BF702" w14:textId="77777777" w:rsidR="001B36F0" w:rsidRDefault="001B36F0">
      <w:pPr>
        <w:pStyle w:val="Default"/>
        <w:widowControl w:val="0"/>
        <w:spacing w:line="442" w:lineRule="exact"/>
        <w:ind w:left="28" w:right="28"/>
        <w:jc w:val="both"/>
        <w:rPr>
          <w:b/>
          <w:i/>
          <w:iCs/>
          <w:color w:val="00000A"/>
        </w:rPr>
      </w:pPr>
    </w:p>
    <w:p w14:paraId="23AFC76B" w14:textId="77777777" w:rsidR="001B36F0" w:rsidRDefault="001B36F0">
      <w:pPr>
        <w:pStyle w:val="Default"/>
        <w:widowControl w:val="0"/>
        <w:spacing w:line="442" w:lineRule="exact"/>
        <w:ind w:left="28" w:right="28"/>
        <w:jc w:val="both"/>
        <w:rPr>
          <w:b/>
          <w:i/>
          <w:iCs/>
          <w:color w:val="00000A"/>
        </w:rPr>
      </w:pPr>
    </w:p>
    <w:p w14:paraId="2982167C" w14:textId="77777777" w:rsidR="001B36F0" w:rsidRDefault="001B5976">
      <w:pPr>
        <w:pStyle w:val="Default"/>
        <w:widowControl w:val="0"/>
        <w:spacing w:line="442" w:lineRule="exact"/>
        <w:ind w:left="28" w:right="28"/>
        <w:jc w:val="both"/>
      </w:pPr>
      <w:r>
        <w:rPr>
          <w:b/>
          <w:i/>
          <w:iCs/>
          <w:color w:val="00000A"/>
        </w:rPr>
        <w:t>Notizie ai sensi della Legge 47/1985 e D.P.R. 380/2001</w:t>
      </w:r>
      <w:r>
        <w:rPr>
          <w:b/>
          <w:color w:val="00000A"/>
        </w:rPr>
        <w:t>: s</w:t>
      </w:r>
      <w:r>
        <w:rPr>
          <w:color w:val="00000A"/>
        </w:rPr>
        <w:t xml:space="preserve">econdo quanto dichiarato dal Geom. </w:t>
      </w:r>
      <w:r>
        <w:rPr>
          <w:color w:val="00000A"/>
        </w:rPr>
        <w:tab/>
      </w:r>
      <w:r>
        <w:rPr>
          <w:color w:val="00000A"/>
        </w:rPr>
        <w:tab/>
      </w:r>
      <w:r>
        <w:rPr>
          <w:color w:val="00000A"/>
        </w:rPr>
        <w:tab/>
      </w:r>
      <w:r>
        <w:rPr>
          <w:color w:val="00000A"/>
        </w:rPr>
        <w:t>nella perizia di stima depositata in atti,</w:t>
      </w:r>
    </w:p>
    <w:p w14:paraId="7EA558E0" w14:textId="77777777" w:rsidR="001B36F0" w:rsidRDefault="001B36F0">
      <w:pPr>
        <w:pStyle w:val="Default"/>
        <w:widowControl w:val="0"/>
        <w:spacing w:line="442" w:lineRule="exact"/>
        <w:ind w:left="28" w:right="28"/>
        <w:jc w:val="both"/>
        <w:rPr>
          <w:color w:val="00000A"/>
        </w:rPr>
      </w:pPr>
    </w:p>
    <w:p w14:paraId="284F94AB" w14:textId="77777777" w:rsidR="001B36F0" w:rsidRDefault="001B36F0">
      <w:pPr>
        <w:pStyle w:val="Default"/>
        <w:widowControl w:val="0"/>
        <w:spacing w:line="442" w:lineRule="exact"/>
        <w:ind w:left="28" w:right="28"/>
        <w:jc w:val="both"/>
        <w:rPr>
          <w:color w:val="00000A"/>
        </w:rPr>
      </w:pPr>
    </w:p>
    <w:p w14:paraId="10073160" w14:textId="77777777" w:rsidR="001B36F0" w:rsidRDefault="001B36F0">
      <w:pPr>
        <w:autoSpaceDE w:val="0"/>
        <w:spacing w:line="442" w:lineRule="exact"/>
        <w:ind w:left="28" w:right="28"/>
        <w:jc w:val="both"/>
        <w:rPr>
          <w:rFonts w:eastAsia="Candara, Candara" w:cs="Times New Roman"/>
          <w:color w:val="00000A"/>
        </w:rPr>
      </w:pPr>
    </w:p>
    <w:p w14:paraId="7EFDEDC3" w14:textId="77777777" w:rsidR="001B36F0" w:rsidRDefault="001B36F0">
      <w:pPr>
        <w:autoSpaceDE w:val="0"/>
        <w:spacing w:line="442" w:lineRule="exact"/>
        <w:ind w:left="28" w:right="28"/>
        <w:jc w:val="both"/>
        <w:rPr>
          <w:rFonts w:eastAsia="Candara, Candara" w:cs="Times New Roman"/>
          <w:color w:val="00000A"/>
        </w:rPr>
      </w:pPr>
    </w:p>
    <w:p w14:paraId="6E975363" w14:textId="77777777" w:rsidR="001B36F0" w:rsidRDefault="001B36F0">
      <w:pPr>
        <w:tabs>
          <w:tab w:val="left" w:pos="708"/>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42" w:lineRule="exact"/>
        <w:ind w:left="28" w:right="28"/>
        <w:jc w:val="both"/>
        <w:rPr>
          <w:rFonts w:eastAsia="Times New Roman" w:cs="Times New Roman"/>
        </w:rPr>
      </w:pPr>
    </w:p>
    <w:p w14:paraId="3E66FF6A" w14:textId="77777777" w:rsidR="001B36F0" w:rsidRDefault="001B36F0">
      <w:pPr>
        <w:tabs>
          <w:tab w:val="left" w:pos="708"/>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442" w:lineRule="exact"/>
        <w:ind w:left="28" w:right="28"/>
        <w:jc w:val="both"/>
        <w:rPr>
          <w:rFonts w:eastAsia="Times New Roman" w:cs="Times New Roman"/>
        </w:rPr>
      </w:pPr>
    </w:p>
    <w:p w14:paraId="1061687E" w14:textId="77777777" w:rsidR="001B36F0" w:rsidRDefault="001B36F0">
      <w:pPr>
        <w:autoSpaceDE w:val="0"/>
        <w:spacing w:line="442" w:lineRule="exact"/>
        <w:ind w:left="28" w:right="28"/>
        <w:jc w:val="both"/>
        <w:rPr>
          <w:rFonts w:eastAsia="Times New Roman" w:cs="Times New Roman"/>
          <w:b/>
          <w:bCs/>
          <w:i/>
          <w:iCs/>
          <w:color w:val="000000"/>
        </w:rPr>
      </w:pPr>
    </w:p>
    <w:p w14:paraId="03F25B3B" w14:textId="77777777" w:rsidR="001B36F0" w:rsidRDefault="001B5976">
      <w:pPr>
        <w:autoSpaceDE w:val="0"/>
        <w:spacing w:line="442" w:lineRule="exact"/>
        <w:ind w:left="28" w:right="28"/>
        <w:jc w:val="both"/>
      </w:pPr>
      <w:r>
        <w:rPr>
          <w:rFonts w:eastAsia="Times New Roman" w:cs="Times New Roman"/>
          <w:b/>
          <w:bCs/>
          <w:i/>
          <w:iCs/>
          <w:color w:val="000000"/>
        </w:rPr>
        <w:t>Stato di occupazione:</w:t>
      </w:r>
      <w:r>
        <w:rPr>
          <w:rFonts w:eastAsia="Times New Roman" w:cs="Times New Roman"/>
          <w:color w:val="000000"/>
        </w:rPr>
        <w:t xml:space="preserve"> </w:t>
      </w:r>
    </w:p>
    <w:p w14:paraId="03A2956B" w14:textId="77777777" w:rsidR="001B36F0" w:rsidRDefault="001B36F0">
      <w:pPr>
        <w:pStyle w:val="Standard"/>
        <w:spacing w:line="442" w:lineRule="exact"/>
        <w:ind w:left="28" w:right="28"/>
        <w:jc w:val="center"/>
        <w:rPr>
          <w:rFonts w:eastAsia="Times New Roman" w:cs="Times New Roman"/>
          <w:b/>
          <w:color w:val="000000"/>
          <w:sz w:val="26"/>
          <w:szCs w:val="26"/>
          <w:u w:val="single"/>
        </w:rPr>
      </w:pPr>
    </w:p>
    <w:p w14:paraId="0F4AD914" w14:textId="77777777" w:rsidR="001B36F0" w:rsidRDefault="001B36F0">
      <w:pPr>
        <w:pStyle w:val="Corpotesto"/>
        <w:spacing w:after="0" w:line="442" w:lineRule="exact"/>
        <w:ind w:right="28"/>
        <w:jc w:val="center"/>
        <w:rPr>
          <w:rFonts w:eastAsia="Times New Roman"/>
          <w:b/>
          <w:bCs/>
          <w:smallCaps/>
          <w:shd w:val="clear" w:color="auto" w:fill="FFFFFF"/>
        </w:rPr>
      </w:pPr>
    </w:p>
    <w:p w14:paraId="45769860" w14:textId="77777777" w:rsidR="001B36F0" w:rsidRDefault="001B36F0">
      <w:pPr>
        <w:spacing w:line="442" w:lineRule="exact"/>
        <w:ind w:left="28" w:right="28"/>
        <w:jc w:val="center"/>
        <w:rPr>
          <w:rFonts w:eastAsia="Times New Roman"/>
          <w:b/>
          <w:color w:val="000000"/>
          <w:sz w:val="26"/>
          <w:szCs w:val="26"/>
          <w:u w:val="single"/>
          <w:shd w:val="clear" w:color="auto" w:fill="FFFFFF"/>
        </w:rPr>
      </w:pPr>
    </w:p>
    <w:p w14:paraId="71C078FB" w14:textId="77777777" w:rsidR="001B36F0" w:rsidRDefault="001B5976">
      <w:pPr>
        <w:spacing w:line="442" w:lineRule="exact"/>
        <w:ind w:left="28" w:right="28"/>
        <w:jc w:val="center"/>
      </w:pPr>
      <w:r>
        <w:rPr>
          <w:rFonts w:eastAsia="Times New Roman"/>
          <w:b/>
          <w:color w:val="000000"/>
          <w:sz w:val="26"/>
          <w:szCs w:val="26"/>
          <w:u w:val="single"/>
          <w:shd w:val="clear" w:color="auto" w:fill="FFFFFF"/>
        </w:rPr>
        <w:t>Condizioni generali di vendita</w:t>
      </w:r>
    </w:p>
    <w:p w14:paraId="7FEE3AC7" w14:textId="77777777" w:rsidR="001B36F0" w:rsidRDefault="001B5976">
      <w:pPr>
        <w:spacing w:line="442" w:lineRule="exact"/>
        <w:ind w:left="28" w:right="28"/>
        <w:jc w:val="center"/>
      </w:pPr>
      <w:r>
        <w:rPr>
          <w:rStyle w:val="Carpredefinitoparagrafo1"/>
          <w:rFonts w:eastAsia="Times New Roman"/>
          <w:b/>
          <w:color w:val="000000"/>
          <w:sz w:val="26"/>
          <w:szCs w:val="26"/>
          <w:shd w:val="clear" w:color="auto" w:fill="FFFFFF"/>
        </w:rPr>
        <w:t xml:space="preserve"> </w:t>
      </w:r>
      <w:r>
        <w:rPr>
          <w:rStyle w:val="Carpredefinitoparagrafo1"/>
          <w:rFonts w:eastAsia="Times New Roman"/>
          <w:b/>
          <w:color w:val="000000"/>
          <w:sz w:val="26"/>
          <w:szCs w:val="26"/>
          <w:u w:val="single"/>
          <w:shd w:val="clear" w:color="auto" w:fill="FFFFFF"/>
        </w:rPr>
        <w:t>con  modalità telematica sincrona a mezzo del gestore della vendita</w:t>
      </w:r>
    </w:p>
    <w:p w14:paraId="7151DF66" w14:textId="4AE5DA91" w:rsidR="001B36F0" w:rsidRDefault="001B5976">
      <w:pPr>
        <w:autoSpaceDE w:val="0"/>
        <w:spacing w:line="442" w:lineRule="exact"/>
        <w:ind w:left="28" w:right="28"/>
        <w:jc w:val="center"/>
        <w:textAlignment w:val="auto"/>
      </w:pPr>
      <w:r>
        <w:rPr>
          <w:rFonts w:eastAsia="Times New Roman"/>
          <w:b/>
          <w:color w:val="000000"/>
          <w:sz w:val="26"/>
          <w:szCs w:val="26"/>
          <w:u w:val="single"/>
          <w:shd w:val="clear" w:color="auto" w:fill="FFFFFF"/>
        </w:rPr>
        <w:t>- -----</w:t>
      </w:r>
      <w:r>
        <w:rPr>
          <w:rFonts w:eastAsia="Times New Roman"/>
          <w:b/>
          <w:color w:val="000000"/>
          <w:sz w:val="26"/>
          <w:szCs w:val="26"/>
          <w:u w:val="single"/>
          <w:shd w:val="clear" w:color="auto" w:fill="FFFFFF"/>
        </w:rPr>
        <w:t>con la piattaforma -----------</w:t>
      </w:r>
      <w:r>
        <w:rPr>
          <w:rFonts w:eastAsia="Times New Roman"/>
          <w:b/>
          <w:color w:val="000000"/>
          <w:sz w:val="26"/>
          <w:szCs w:val="26"/>
          <w:u w:val="single"/>
          <w:shd w:val="clear" w:color="auto" w:fill="FFFFFF"/>
        </w:rPr>
        <w:t xml:space="preserve"> -</w:t>
      </w:r>
    </w:p>
    <w:p w14:paraId="6CF436AD" w14:textId="6EFECD41" w:rsidR="001B36F0" w:rsidRDefault="001B5976">
      <w:pPr>
        <w:pStyle w:val="Standard"/>
        <w:spacing w:line="442" w:lineRule="exact"/>
        <w:ind w:left="28" w:right="28"/>
        <w:jc w:val="both"/>
      </w:pPr>
      <w:r>
        <w:rPr>
          <w:rStyle w:val="Carpredefinitoparagrafo1"/>
          <w:b/>
          <w:shd w:val="clear" w:color="auto" w:fill="FFFFFF"/>
        </w:rPr>
        <w:t xml:space="preserve">L'udienza per l’apertura delle buste, per l’esame delle offerte e per l’eventuale gara tra gli offerenti avrà luogo innanzi al </w:t>
      </w:r>
      <w:r>
        <w:rPr>
          <w:rStyle w:val="Carpredefinitoparagrafo1"/>
          <w:b/>
          <w:shd w:val="clear" w:color="auto" w:fill="FFFFFF"/>
        </w:rPr>
        <w:t xml:space="preserve">delegato il giorno </w:t>
      </w:r>
      <w:r>
        <w:rPr>
          <w:rStyle w:val="Carpredefinitoparagrafo1"/>
          <w:b/>
          <w:sz w:val="40"/>
          <w:szCs w:val="40"/>
          <w:u w:val="single"/>
          <w:shd w:val="clear" w:color="auto" w:fill="FFFFFF"/>
        </w:rPr>
        <w:tab/>
      </w:r>
      <w:r>
        <w:rPr>
          <w:rStyle w:val="Carpredefinitoparagrafo1"/>
          <w:b/>
          <w:sz w:val="40"/>
          <w:szCs w:val="40"/>
          <w:u w:val="single"/>
          <w:shd w:val="clear" w:color="auto" w:fill="FFFFFF"/>
        </w:rPr>
        <w:tab/>
      </w:r>
      <w:r>
        <w:rPr>
          <w:rStyle w:val="Carpredefinitoparagrafo1"/>
          <w:b/>
          <w:sz w:val="40"/>
          <w:szCs w:val="40"/>
          <w:u w:val="single"/>
          <w:shd w:val="clear" w:color="auto" w:fill="FFFFFF"/>
        </w:rPr>
        <w:tab/>
      </w:r>
      <w:r>
        <w:rPr>
          <w:rStyle w:val="Carpredefinitoparagrafo1"/>
          <w:b/>
          <w:sz w:val="40"/>
          <w:szCs w:val="40"/>
          <w:u w:val="single"/>
          <w:shd w:val="clear" w:color="auto" w:fill="FFFFFF"/>
        </w:rPr>
        <w:tab/>
      </w:r>
      <w:r>
        <w:rPr>
          <w:rStyle w:val="Carpredefinitoparagrafo1"/>
          <w:b/>
          <w:sz w:val="40"/>
          <w:szCs w:val="40"/>
          <w:u w:val="single"/>
          <w:shd w:val="clear" w:color="auto" w:fill="FFFFFF"/>
        </w:rPr>
        <w:tab/>
      </w:r>
      <w:r>
        <w:rPr>
          <w:rStyle w:val="Carpredefinitoparagrafo1"/>
          <w:b/>
          <w:sz w:val="40"/>
          <w:szCs w:val="40"/>
          <w:u w:val="single"/>
          <w:shd w:val="clear" w:color="auto" w:fill="FFFFFF"/>
        </w:rPr>
        <w:tab/>
        <w:t xml:space="preserve"> h. </w:t>
      </w:r>
      <w:r>
        <w:rPr>
          <w:rStyle w:val="Carpredefinitoparagrafo1"/>
          <w:b/>
          <w:sz w:val="40"/>
          <w:szCs w:val="40"/>
          <w:u w:val="single"/>
          <w:shd w:val="clear" w:color="auto" w:fill="FFFFFF"/>
        </w:rPr>
        <w:tab/>
      </w:r>
      <w:r>
        <w:rPr>
          <w:rStyle w:val="Carpredefinitoparagrafo1"/>
          <w:b/>
          <w:sz w:val="40"/>
          <w:szCs w:val="40"/>
          <w:u w:val="single"/>
          <w:shd w:val="clear" w:color="auto" w:fill="FFFFFF"/>
        </w:rPr>
        <w:tab/>
      </w:r>
      <w:r>
        <w:rPr>
          <w:rStyle w:val="Carpredefinitoparagrafo1"/>
          <w:b/>
          <w:sz w:val="36"/>
          <w:szCs w:val="36"/>
          <w:shd w:val="clear" w:color="auto" w:fill="FFFFFF"/>
        </w:rPr>
        <w:t xml:space="preserve"> </w:t>
      </w:r>
      <w:r>
        <w:rPr>
          <w:rStyle w:val="Carpredefinitoparagrafo1"/>
          <w:b/>
          <w:shd w:val="clear" w:color="auto" w:fill="FFFFFF"/>
        </w:rPr>
        <w:t xml:space="preserve">nei locali del Tribunale di Reggio Emilia (aula nr. 1 – piano terra), </w:t>
      </w:r>
      <w:r>
        <w:rPr>
          <w:rFonts w:cs="Times New Roman"/>
          <w:b/>
          <w:shd w:val="clear" w:color="auto" w:fill="FFFFFF"/>
        </w:rPr>
        <w:t>con l’avvertenza che potranno verificarsi ritardi, anche consistenti, a causa del protrarsi delle aste precedenti.</w:t>
      </w:r>
    </w:p>
    <w:p w14:paraId="6FE276F7" w14:textId="77777777" w:rsidR="001B36F0" w:rsidRDefault="001B5976">
      <w:pPr>
        <w:spacing w:line="442" w:lineRule="exact"/>
        <w:ind w:left="28" w:right="28"/>
        <w:jc w:val="both"/>
      </w:pPr>
      <w:r>
        <w:rPr>
          <w:shd w:val="clear" w:color="auto" w:fill="FFFFFF"/>
        </w:rPr>
        <w:t>La vendita dei cespiti pignorati è disciplinata dalle seguenti condizioni:</w:t>
      </w:r>
    </w:p>
    <w:p w14:paraId="5DFAE621" w14:textId="77777777" w:rsidR="001B36F0" w:rsidRDefault="001B5976">
      <w:pPr>
        <w:numPr>
          <w:ilvl w:val="0"/>
          <w:numId w:val="2"/>
        </w:numPr>
        <w:tabs>
          <w:tab w:val="left" w:pos="0"/>
        </w:tabs>
        <w:spacing w:line="442" w:lineRule="exact"/>
        <w:ind w:left="28" w:right="28" w:firstLine="0"/>
        <w:jc w:val="both"/>
      </w:pPr>
      <w:r>
        <w:rPr>
          <w:shd w:val="clear" w:color="auto" w:fill="FFFFFF"/>
        </w:rPr>
        <w:t xml:space="preserve">Gli immobili pignorati sono posti in vendita nella consistenza indicata nella </w:t>
      </w:r>
      <w:r>
        <w:rPr>
          <w:shd w:val="clear" w:color="auto" w:fill="FFFFFF"/>
        </w:rPr>
        <w:t>perizia redatta dallo stimatore (che deve intendersi qui per intero richiamata e trascritta); quanto alle indicazioni della normativa relativa alle regolarità urbanistica degli immobili si richiamano nel presente avviso le indicazioni e gli accertamenti operati dall’esperto (in ogni caso, l’aggiudicatario potrà, ricorrendone i presupposti, avvalersi delle disposizioni di cui agli artt. 17, 5° comma e 40, 6° comma, della medesima Legge 47/1985 e successive modificazioni ed integrazioni).</w:t>
      </w:r>
    </w:p>
    <w:p w14:paraId="7D5B5853" w14:textId="77777777" w:rsidR="001B36F0" w:rsidRDefault="001B5976">
      <w:pPr>
        <w:spacing w:line="442" w:lineRule="exact"/>
        <w:ind w:left="28" w:right="28"/>
        <w:jc w:val="both"/>
      </w:pPr>
      <w:r>
        <w:rPr>
          <w:shd w:val="clear" w:color="auto" w:fill="FFFFFF"/>
        </w:rPr>
        <w:t>La vendita avviene nello stato di fatto e di diritto in cui i beni si trovano, con tutte le eventuali pertinenze, accessioni, ragioni ed azioni, servitù attive e passive. La vendita è a corpo e non a misura (eventuali differenze di misura non potranno dar luogo ad alcun risarcimento, indennità o riduzione del prezzo).</w:t>
      </w:r>
    </w:p>
    <w:p w14:paraId="34586E46" w14:textId="77777777" w:rsidR="001B36F0" w:rsidRDefault="001B5976">
      <w:pPr>
        <w:spacing w:line="442" w:lineRule="exact"/>
        <w:ind w:left="28" w:right="28"/>
        <w:jc w:val="both"/>
      </w:pPr>
      <w:r>
        <w:rPr>
          <w:shd w:val="clear" w:color="auto" w:fill="FFFFFF"/>
        </w:rPr>
        <w:t xml:space="preserve">La vendita forzata non è soggetta alle norme concernenti la garanzia per vizi o mancanza di qualità, né potrà essere revocata per alcun motivo: l’esistenza di eventuali vizi, mancanza di qualità o difformità della cosa venduta, oneri di qualsiasi genere – ivi </w:t>
      </w:r>
      <w:r>
        <w:rPr>
          <w:shd w:val="clear" w:color="auto" w:fill="FFFFFF"/>
        </w:rPr>
        <w:lastRenderedPageBreak/>
        <w:t>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3F8B52AA" w14:textId="77777777" w:rsidR="001B36F0" w:rsidRDefault="001B5976">
      <w:pPr>
        <w:numPr>
          <w:ilvl w:val="0"/>
          <w:numId w:val="2"/>
        </w:numPr>
        <w:tabs>
          <w:tab w:val="left" w:pos="0"/>
        </w:tabs>
        <w:spacing w:line="442" w:lineRule="exact"/>
        <w:ind w:left="28" w:right="28" w:firstLine="0"/>
        <w:jc w:val="both"/>
      </w:pPr>
      <w:r>
        <w:rPr>
          <w:rStyle w:val="Carpredefinitoparagrafo1"/>
          <w:b/>
          <w:bCs/>
          <w:sz w:val="28"/>
          <w:szCs w:val="28"/>
          <w:u w:val="single"/>
          <w:shd w:val="clear" w:color="auto" w:fill="FFFFFF"/>
        </w:rPr>
        <w:t xml:space="preserve">Per il Lotto Unico il prezzo base per le offerte è di Euro </w:t>
      </w:r>
      <w:r>
        <w:rPr>
          <w:rStyle w:val="Carpredefinitoparagrafo1"/>
          <w:b/>
          <w:bCs/>
          <w:sz w:val="28"/>
          <w:szCs w:val="28"/>
          <w:u w:val="single"/>
          <w:shd w:val="clear" w:color="auto" w:fill="FFFFFF"/>
        </w:rPr>
        <w:tab/>
      </w:r>
      <w:r>
        <w:rPr>
          <w:rStyle w:val="Carpredefinitoparagrafo1"/>
          <w:b/>
          <w:bCs/>
          <w:sz w:val="28"/>
          <w:szCs w:val="28"/>
          <w:u w:val="single"/>
          <w:shd w:val="clear" w:color="auto" w:fill="FFFFFF"/>
        </w:rPr>
        <w:tab/>
      </w:r>
      <w:r>
        <w:rPr>
          <w:rStyle w:val="Carpredefinitoparagrafo1"/>
          <w:b/>
          <w:bCs/>
          <w:sz w:val="28"/>
          <w:szCs w:val="28"/>
          <w:u w:val="single"/>
          <w:shd w:val="clear" w:color="auto" w:fill="FFFFFF"/>
        </w:rPr>
        <w:tab/>
      </w:r>
      <w:r>
        <w:rPr>
          <w:rStyle w:val="Carpredefinitoparagrafo1"/>
          <w:b/>
          <w:bCs/>
          <w:sz w:val="28"/>
          <w:szCs w:val="28"/>
          <w:u w:val="single"/>
          <w:shd w:val="clear" w:color="auto" w:fill="FFFFFF"/>
        </w:rPr>
        <w:tab/>
        <w:t xml:space="preserve"> e l'offerta minima è di Euro </w:t>
      </w:r>
      <w:r>
        <w:rPr>
          <w:rStyle w:val="Carpredefinitoparagrafo1"/>
          <w:b/>
          <w:bCs/>
          <w:sz w:val="28"/>
          <w:szCs w:val="28"/>
          <w:u w:val="single"/>
          <w:shd w:val="clear" w:color="auto" w:fill="FFFFFF"/>
        </w:rPr>
        <w:tab/>
      </w:r>
      <w:r>
        <w:rPr>
          <w:rStyle w:val="Carpredefinitoparagrafo1"/>
          <w:b/>
          <w:bCs/>
          <w:sz w:val="28"/>
          <w:szCs w:val="28"/>
          <w:u w:val="single"/>
          <w:shd w:val="clear" w:color="auto" w:fill="FFFFFF"/>
        </w:rPr>
        <w:tab/>
      </w:r>
      <w:r>
        <w:rPr>
          <w:rStyle w:val="Carpredefinitoparagrafo1"/>
          <w:b/>
          <w:bCs/>
          <w:sz w:val="28"/>
          <w:szCs w:val="28"/>
          <w:u w:val="single"/>
          <w:shd w:val="clear" w:color="auto" w:fill="FFFFFF"/>
        </w:rPr>
        <w:tab/>
      </w:r>
    </w:p>
    <w:p w14:paraId="5EEF186D" w14:textId="77777777" w:rsidR="001B36F0" w:rsidRDefault="001B5976">
      <w:pPr>
        <w:numPr>
          <w:ilvl w:val="0"/>
          <w:numId w:val="2"/>
        </w:numPr>
        <w:tabs>
          <w:tab w:val="left" w:pos="0"/>
        </w:tabs>
        <w:spacing w:line="442" w:lineRule="exact"/>
        <w:ind w:left="28" w:right="28" w:firstLine="0"/>
        <w:jc w:val="both"/>
      </w:pPr>
      <w:r>
        <w:rPr>
          <w:shd w:val="clear" w:color="auto" w:fill="FFFFFF"/>
        </w:rPr>
        <w:t>Le informazioni sul regime fiscale a cui è assoggettata la vendita (imposte sul trasferimento, agevolazioni, ecc.) saranno fornite dal Notaio delegato presso l’Associazione Notarile per le Esecuzioni Immobiliari (c/o Palazzo di Giustizia – piano terra – via Paterlini 1).</w:t>
      </w:r>
    </w:p>
    <w:p w14:paraId="1588F12E" w14:textId="77777777" w:rsidR="001B36F0" w:rsidRDefault="001B5976">
      <w:pPr>
        <w:numPr>
          <w:ilvl w:val="0"/>
          <w:numId w:val="2"/>
        </w:numPr>
        <w:tabs>
          <w:tab w:val="left" w:pos="0"/>
        </w:tabs>
        <w:spacing w:line="442" w:lineRule="exact"/>
        <w:ind w:left="28" w:right="28" w:firstLine="0"/>
        <w:jc w:val="both"/>
      </w:pPr>
      <w:r>
        <w:rPr>
          <w:shd w:val="clear" w:color="auto" w:fill="FFFFFF"/>
        </w:rPr>
        <w:t xml:space="preserve">L’immobile viene venduto libero da iscrizioni ipotecarie e da trascrizioni di pignoramenti (se esistenti al momento della vendita, eventuali iscrizioni saranno cancellate a spese e cura della procedura); </w:t>
      </w:r>
      <w:r>
        <w:rPr>
          <w:u w:val="single"/>
          <w:shd w:val="clear" w:color="auto" w:fill="FFFFFF"/>
        </w:rPr>
        <w:t>sono a carico dell’aggiudicatario gli oneri fiscali e i compensi spettanti al delegato per redazione, registrazione, trascrizione e voltura del decreto di trasferimento (pari al 50% del totale).</w:t>
      </w:r>
    </w:p>
    <w:p w14:paraId="4199348C" w14:textId="77777777" w:rsidR="001B36F0" w:rsidRDefault="001B5976">
      <w:pPr>
        <w:numPr>
          <w:ilvl w:val="0"/>
          <w:numId w:val="2"/>
        </w:numPr>
        <w:tabs>
          <w:tab w:val="left" w:pos="0"/>
        </w:tabs>
        <w:spacing w:line="442" w:lineRule="exact"/>
        <w:ind w:left="28" w:right="28" w:firstLine="0"/>
        <w:jc w:val="both"/>
      </w:pPr>
      <w:r>
        <w:rPr>
          <w:rStyle w:val="Carpredefinitoparagrafo1"/>
          <w:b/>
          <w:u w:val="single"/>
          <w:shd w:val="clear" w:color="auto" w:fill="FFFFFF"/>
        </w:rPr>
        <w:t xml:space="preserve">Entro </w:t>
      </w:r>
      <w:r>
        <w:rPr>
          <w:rStyle w:val="Carpredefinitoparagrafo1"/>
          <w:b/>
          <w:sz w:val="32"/>
          <w:szCs w:val="32"/>
          <w:u w:val="single"/>
          <w:shd w:val="clear" w:color="auto" w:fill="FFFFFF"/>
        </w:rPr>
        <w:t>le ore 12:00 del giorno precedente</w:t>
      </w:r>
      <w:r>
        <w:rPr>
          <w:rStyle w:val="Carpredefinitoparagrafo1"/>
          <w:u w:val="single"/>
          <w:shd w:val="clear" w:color="auto" w:fill="FFFFFF"/>
        </w:rPr>
        <w:t xml:space="preserve"> a quello fissato per la gara (sopra indicato)  dovranno essere depositate le offerte di acquisto</w:t>
      </w:r>
      <w:r>
        <w:rPr>
          <w:rStyle w:val="Carpredefinitoparagrafo1"/>
          <w:shd w:val="clear" w:color="auto" w:fill="FFFFFF"/>
        </w:rPr>
        <w:t>.</w:t>
      </w:r>
      <w:r>
        <w:rPr>
          <w:rStyle w:val="Carpredefinitoparagrafo1"/>
          <w:u w:val="single"/>
          <w:shd w:val="clear" w:color="auto" w:fill="FFFFFF"/>
        </w:rPr>
        <w:t xml:space="preserve"> Si avverte che entro l'orario indicato dovrà essere generata anche la ricevuta di consegna.</w:t>
      </w:r>
    </w:p>
    <w:p w14:paraId="2D81B999" w14:textId="77777777" w:rsidR="001B36F0" w:rsidRDefault="001B5976">
      <w:pPr>
        <w:numPr>
          <w:ilvl w:val="0"/>
          <w:numId w:val="2"/>
        </w:numPr>
        <w:tabs>
          <w:tab w:val="left" w:pos="0"/>
        </w:tabs>
        <w:spacing w:line="442" w:lineRule="exact"/>
        <w:ind w:left="28" w:right="28" w:firstLine="0"/>
        <w:jc w:val="both"/>
      </w:pPr>
      <w:r>
        <w:rPr>
          <w:rStyle w:val="Carpredefinitoparagrafo1"/>
          <w:shd w:val="clear" w:color="auto" w:fill="FFFFFF"/>
        </w:rPr>
        <w:t xml:space="preserve">La vendita si svolgerà senza incanto, secondo il sistema previsto dagli artt. 570-574 c.p.c., atteso che, ai sensi dell’art. 569 comma 3 c.p.c., non può ritenersi probabile che la vendita con il sistema dell’incanto </w:t>
      </w:r>
      <w:r>
        <w:rPr>
          <w:rStyle w:val="Carpredefinitoparagrafo1"/>
          <w:i/>
          <w:iCs/>
          <w:shd w:val="clear" w:color="auto" w:fill="FFFFFF"/>
        </w:rPr>
        <w:t>ex</w:t>
      </w:r>
      <w:r>
        <w:rPr>
          <w:rStyle w:val="Carpredefinitoparagrafo1"/>
          <w:shd w:val="clear" w:color="auto" w:fill="FFFFFF"/>
        </w:rPr>
        <w:t xml:space="preserve"> art. 576 c.p.c., possa avere luogo ad un prezzo superiore della metà rispetto al valore del bene.</w:t>
      </w:r>
    </w:p>
    <w:p w14:paraId="64B9FB25" w14:textId="77777777" w:rsidR="001B36F0" w:rsidRDefault="001B5976">
      <w:pPr>
        <w:numPr>
          <w:ilvl w:val="0"/>
          <w:numId w:val="2"/>
        </w:numPr>
        <w:tabs>
          <w:tab w:val="left" w:pos="0"/>
        </w:tabs>
        <w:spacing w:line="442" w:lineRule="exact"/>
        <w:ind w:left="28" w:right="28" w:firstLine="0"/>
        <w:jc w:val="both"/>
      </w:pPr>
      <w:r>
        <w:rPr>
          <w:rStyle w:val="Carpredefinitoparagrafo1"/>
          <w:shd w:val="clear" w:color="auto" w:fill="FFFFFF"/>
        </w:rPr>
        <w:t xml:space="preserve">La vendita avverrà con </w:t>
      </w:r>
      <w:r>
        <w:rPr>
          <w:rStyle w:val="Carpredefinitoparagrafo1"/>
          <w:b/>
          <w:bCs/>
          <w:shd w:val="clear" w:color="auto" w:fill="FFFFFF"/>
        </w:rPr>
        <w:t>modalità telematica sincrona</w:t>
      </w:r>
      <w:r>
        <w:rPr>
          <w:rStyle w:val="Carpredefinitoparagrafo1"/>
          <w:shd w:val="clear" w:color="auto" w:fill="FFFFFF"/>
        </w:rPr>
        <w:t>.</w:t>
      </w:r>
    </w:p>
    <w:p w14:paraId="4DE4AF1B" w14:textId="77777777" w:rsidR="001B36F0" w:rsidRDefault="001B5976">
      <w:pPr>
        <w:numPr>
          <w:ilvl w:val="0"/>
          <w:numId w:val="2"/>
        </w:numPr>
        <w:tabs>
          <w:tab w:val="left" w:pos="0"/>
        </w:tabs>
        <w:spacing w:line="442" w:lineRule="exact"/>
        <w:ind w:left="28" w:right="28" w:firstLine="0"/>
        <w:jc w:val="both"/>
      </w:pPr>
      <w:r>
        <w:rPr>
          <w:rStyle w:val="Carpredefinitoparagrafo1"/>
          <w:shd w:val="clear" w:color="auto" w:fill="FFFFFF"/>
        </w:rPr>
        <w:t xml:space="preserve">Il </w:t>
      </w:r>
      <w:r>
        <w:rPr>
          <w:rStyle w:val="Carpredefinitoparagrafo1"/>
          <w:b/>
          <w:bCs/>
          <w:shd w:val="clear" w:color="auto" w:fill="FFFFFF"/>
        </w:rPr>
        <w:t>GESTORE DELLA VENDITA TELEMATICA</w:t>
      </w:r>
      <w:r>
        <w:rPr>
          <w:rStyle w:val="Carpredefinitoparagrafo1"/>
          <w:shd w:val="clear" w:color="auto" w:fill="FFFFFF"/>
        </w:rPr>
        <w:t xml:space="preserve"> sarà la società di seguito indicata:</w:t>
      </w:r>
    </w:p>
    <w:p w14:paraId="591E7187" w14:textId="21D1DAF2" w:rsidR="001B36F0" w:rsidRDefault="001B5976">
      <w:pPr>
        <w:spacing w:line="442" w:lineRule="exact"/>
        <w:ind w:left="28" w:right="28"/>
        <w:jc w:val="both"/>
      </w:pPr>
      <w:r>
        <w:rPr>
          <w:rStyle w:val="Carpredefinitoparagrafo1"/>
          <w:b/>
          <w:bCs/>
          <w:shd w:val="clear" w:color="auto" w:fill="FFFFFF"/>
        </w:rPr>
        <w:t>-  -----</w:t>
      </w:r>
      <w:r>
        <w:rPr>
          <w:rStyle w:val="Carpredefinitoparagrafo1"/>
          <w:b/>
          <w:bCs/>
          <w:shd w:val="clear" w:color="auto" w:fill="FFFFFF"/>
        </w:rPr>
        <w:t xml:space="preserve"> con la piattaforma -------</w:t>
      </w:r>
      <w:r>
        <w:rPr>
          <w:rStyle w:val="Carpredefinitoparagrafo1"/>
          <w:b/>
          <w:bCs/>
          <w:shd w:val="clear" w:color="auto" w:fill="FFFFFF"/>
        </w:rPr>
        <w:t xml:space="preserve">, </w:t>
      </w:r>
      <w:r>
        <w:rPr>
          <w:rStyle w:val="Carpredefinitoparagrafo1"/>
          <w:rFonts w:eastAsia="Times New Roman"/>
          <w:b/>
          <w:bCs/>
          <w:color w:val="000000"/>
          <w:u w:val="single"/>
          <w:shd w:val="clear" w:color="auto" w:fill="FFFFFF"/>
        </w:rPr>
        <w:t>raggiungibile sul sito -----</w:t>
      </w:r>
    </w:p>
    <w:p w14:paraId="7FF63642" w14:textId="77777777" w:rsidR="001B36F0" w:rsidRDefault="001B5976">
      <w:pPr>
        <w:pStyle w:val="Standard"/>
        <w:spacing w:line="442" w:lineRule="exact"/>
        <w:ind w:right="28"/>
        <w:jc w:val="both"/>
      </w:pPr>
      <w:r>
        <w:rPr>
          <w:rStyle w:val="Carpredefinitoparagrafo1"/>
          <w:shd w:val="clear" w:color="auto" w:fill="FFFFFF"/>
        </w:rPr>
        <w:t xml:space="preserve">Ogni </w:t>
      </w:r>
      <w:r>
        <w:rPr>
          <w:rStyle w:val="Carpredefinitoparagrafo1"/>
          <w:shd w:val="clear" w:color="auto" w:fill="FFFFFF"/>
        </w:rPr>
        <w:t xml:space="preserve">offerente, esclusi il debitore e tutti i soggetti per legge non ammessi alla vendita, dovrà depositare </w:t>
      </w:r>
      <w:r>
        <w:rPr>
          <w:rFonts w:cs="Times New Roman"/>
          <w:bCs/>
          <w:shd w:val="clear" w:color="auto" w:fill="FFFFFF"/>
        </w:rPr>
        <w:t xml:space="preserve">offerta conforme a quanto stabilito dal Decreto 26/2/2015 n. 32 artt. 12 e segg., tramite il </w:t>
      </w:r>
      <w:r>
        <w:rPr>
          <w:rFonts w:cs="Times New Roman"/>
          <w:b/>
          <w:bCs/>
          <w:shd w:val="clear" w:color="auto" w:fill="FFFFFF"/>
        </w:rPr>
        <w:t>modulo web “Offerta Telematica”</w:t>
      </w:r>
      <w:r>
        <w:rPr>
          <w:rFonts w:cs="Times New Roman"/>
          <w:bCs/>
          <w:shd w:val="clear" w:color="auto" w:fill="FFFFFF"/>
        </w:rPr>
        <w:t xml:space="preserve"> fornito dal Ministero della Giustizia, e depositata secondo le indicazioni riportate nel “Manuale Utente” pubblicato sul portale </w:t>
      </w:r>
      <w:r>
        <w:rPr>
          <w:rFonts w:cs="Times New Roman"/>
          <w:bCs/>
          <w:shd w:val="clear" w:color="auto" w:fill="FFFFFF"/>
        </w:rPr>
        <w:lastRenderedPageBreak/>
        <w:t xml:space="preserve">delle vendite telematiche del Ministero della Giustizia. Ad essa dovrà essere allegata la </w:t>
      </w:r>
      <w:r>
        <w:rPr>
          <w:rFonts w:cs="Times New Roman"/>
          <w:b/>
          <w:bCs/>
          <w:u w:val="single"/>
          <w:shd w:val="clear" w:color="auto" w:fill="FFFFFF"/>
        </w:rPr>
        <w:t>ricevuta del versamento tramite BONIFICO sul c/c bancario</w:t>
      </w:r>
      <w:r>
        <w:rPr>
          <w:rFonts w:cs="Times New Roman"/>
          <w:b/>
          <w:bCs/>
          <w:shd w:val="clear" w:color="auto" w:fill="FFFFFF"/>
        </w:rPr>
        <w:t xml:space="preserve"> intesta</w:t>
      </w:r>
      <w:r>
        <w:rPr>
          <w:rFonts w:cs="Times New Roman"/>
          <w:b/>
          <w:bCs/>
          <w:shd w:val="clear" w:color="auto" w:fill="FFFFFF"/>
        </w:rPr>
        <w:t>to alla procedura e aperto presso "</w:t>
      </w:r>
      <w:r>
        <w:rPr>
          <w:rFonts w:cs="Times New Roman"/>
          <w:b/>
          <w:bCs/>
          <w:shd w:val="clear" w:color="auto" w:fill="FFFFFF"/>
        </w:rPr>
        <w:tab/>
      </w:r>
      <w:r>
        <w:rPr>
          <w:rFonts w:cs="Times New Roman"/>
          <w:b/>
          <w:bCs/>
          <w:shd w:val="clear" w:color="auto" w:fill="FFFFFF"/>
        </w:rPr>
        <w:tab/>
      </w:r>
      <w:r>
        <w:rPr>
          <w:rFonts w:cs="Times New Roman"/>
          <w:b/>
          <w:bCs/>
          <w:shd w:val="clear" w:color="auto" w:fill="FFFFFF"/>
        </w:rPr>
        <w:tab/>
      </w:r>
      <w:r>
        <w:rPr>
          <w:rFonts w:cs="Times New Roman"/>
          <w:b/>
          <w:bCs/>
          <w:shd w:val="clear" w:color="auto" w:fill="FFFFFF"/>
        </w:rPr>
        <w:tab/>
        <w:t xml:space="preserve">" - Via </w:t>
      </w:r>
      <w:r>
        <w:rPr>
          <w:rFonts w:cs="Times New Roman"/>
          <w:b/>
          <w:bCs/>
          <w:shd w:val="clear" w:color="auto" w:fill="FFFFFF"/>
        </w:rPr>
        <w:tab/>
      </w:r>
      <w:r>
        <w:rPr>
          <w:rFonts w:cs="Times New Roman"/>
          <w:b/>
          <w:bCs/>
          <w:shd w:val="clear" w:color="auto" w:fill="FFFFFF"/>
        </w:rPr>
        <w:tab/>
      </w:r>
      <w:r>
        <w:rPr>
          <w:rFonts w:cs="Times New Roman"/>
          <w:b/>
          <w:bCs/>
          <w:shd w:val="clear" w:color="auto" w:fill="FFFFFF"/>
        </w:rPr>
        <w:tab/>
        <w:t xml:space="preserve"> n. </w:t>
      </w:r>
      <w:r>
        <w:rPr>
          <w:rFonts w:cs="Times New Roman"/>
          <w:b/>
          <w:bCs/>
          <w:shd w:val="clear" w:color="auto" w:fill="FFFFFF"/>
        </w:rPr>
        <w:tab/>
      </w:r>
      <w:r>
        <w:rPr>
          <w:rFonts w:cs="Times New Roman"/>
          <w:b/>
          <w:bCs/>
          <w:shd w:val="clear" w:color="auto" w:fill="FFFFFF"/>
        </w:rPr>
        <w:tab/>
        <w:t xml:space="preserve"> - Agenzia di Reggio Emilia, identificato con il numero della procedura e con codice IBAN </w:t>
      </w:r>
      <w:r>
        <w:rPr>
          <w:rFonts w:cs="Times New Roman"/>
          <w:b/>
          <w:bCs/>
          <w:shd w:val="clear" w:color="auto" w:fill="FFFFFF"/>
        </w:rPr>
        <w:tab/>
      </w:r>
      <w:r>
        <w:rPr>
          <w:rFonts w:cs="Times New Roman"/>
          <w:b/>
          <w:bCs/>
          <w:shd w:val="clear" w:color="auto" w:fill="FFFFFF"/>
        </w:rPr>
        <w:tab/>
      </w:r>
      <w:r>
        <w:rPr>
          <w:rFonts w:cs="Times New Roman"/>
          <w:b/>
          <w:bCs/>
          <w:shd w:val="clear" w:color="auto" w:fill="FFFFFF"/>
        </w:rPr>
        <w:tab/>
      </w:r>
      <w:r>
        <w:rPr>
          <w:rFonts w:cs="Times New Roman"/>
          <w:b/>
          <w:bCs/>
          <w:shd w:val="clear" w:color="auto" w:fill="FFFFFF"/>
        </w:rPr>
        <w:tab/>
      </w:r>
      <w:r>
        <w:rPr>
          <w:rFonts w:cs="Times New Roman"/>
          <w:b/>
          <w:bCs/>
          <w:shd w:val="clear" w:color="auto" w:fill="FFFFFF"/>
        </w:rPr>
        <w:tab/>
      </w:r>
      <w:r>
        <w:rPr>
          <w:rFonts w:cs="Times New Roman"/>
          <w:b/>
          <w:bCs/>
          <w:shd w:val="clear" w:color="auto" w:fill="FFFFFF"/>
        </w:rPr>
        <w:tab/>
      </w:r>
      <w:r>
        <w:rPr>
          <w:rFonts w:cs="Times New Roman"/>
          <w:b/>
          <w:bCs/>
          <w:shd w:val="clear" w:color="auto" w:fill="FFFFFF"/>
        </w:rPr>
        <w:tab/>
      </w:r>
      <w:r>
        <w:rPr>
          <w:rFonts w:cs="Times New Roman"/>
          <w:b/>
          <w:bCs/>
          <w:shd w:val="clear" w:color="auto" w:fill="FFFFFF"/>
        </w:rPr>
        <w:tab/>
      </w:r>
      <w:r>
        <w:rPr>
          <w:rFonts w:cs="Times New Roman"/>
          <w:b/>
          <w:bCs/>
          <w:shd w:val="clear" w:color="auto" w:fill="FFFFFF"/>
        </w:rPr>
        <w:tab/>
        <w:t xml:space="preserve"> – della somma pari al 10% del prezzo offerto (a titolo di cauzione).</w:t>
      </w:r>
    </w:p>
    <w:p w14:paraId="238C8999" w14:textId="77777777" w:rsidR="001B36F0" w:rsidRDefault="001B5976">
      <w:pPr>
        <w:pStyle w:val="Standard"/>
        <w:spacing w:line="442" w:lineRule="exact"/>
        <w:ind w:left="28" w:right="28"/>
        <w:jc w:val="both"/>
        <w:rPr>
          <w:rFonts w:cs="Times New Roman"/>
          <w:bCs/>
          <w:u w:val="single"/>
          <w:shd w:val="clear" w:color="auto" w:fill="FFFFFF"/>
        </w:rPr>
      </w:pPr>
      <w:r>
        <w:rPr>
          <w:rFonts w:cs="Times New Roman"/>
          <w:bCs/>
          <w:u w:val="single"/>
          <w:shd w:val="clear" w:color="auto" w:fill="FFFFFF"/>
        </w:rPr>
        <w:t>Il bonifico con cui è versata la cauzione deve avere valuta beneficiario antecedente alla data dell’udienza di vendita.</w:t>
      </w:r>
    </w:p>
    <w:p w14:paraId="618783BA" w14:textId="77777777" w:rsidR="001B36F0" w:rsidRDefault="001B5976">
      <w:pPr>
        <w:pStyle w:val="Standard"/>
        <w:spacing w:line="442" w:lineRule="exact"/>
        <w:ind w:left="28" w:right="28"/>
        <w:jc w:val="both"/>
        <w:rPr>
          <w:rFonts w:cs="Times New Roman"/>
          <w:bCs/>
          <w:shd w:val="clear" w:color="auto" w:fill="FFFFFF"/>
        </w:rPr>
      </w:pPr>
      <w:r>
        <w:rPr>
          <w:rFonts w:cs="Times New Roman"/>
          <w:bCs/>
          <w:shd w:val="clear" w:color="auto" w:fill="FFFFFF"/>
        </w:rPr>
        <w:t>Ai sensi dell’art. 571/1 c.p.c. ognuno, esclusi il debitore e tutti i soggetti per legge non ammessi alla vendita, è ammesso a offrire personalmente o a mezzo di avvocato, munito di procura speciale notarile.</w:t>
      </w:r>
    </w:p>
    <w:p w14:paraId="26D56BE9" w14:textId="77777777" w:rsidR="001B36F0" w:rsidRDefault="001B5976">
      <w:pPr>
        <w:spacing w:line="442" w:lineRule="exact"/>
        <w:ind w:left="28" w:right="28"/>
        <w:jc w:val="both"/>
      </w:pPr>
      <w:r>
        <w:rPr>
          <w:shd w:val="clear" w:color="auto" w:fill="FFFFFF"/>
        </w:rPr>
        <w:t>L'offerta dovrà riportare, tra l’altro: le complete generalità dell’offerente; l’indicazione del codice fiscale o della partita IVA; nell’ipotesi di persona coniugata, il regime patrimoniale della famiglia (per escludere il bene aggiudicato dalla comunione legale è necessario che il coniuge partecipi all’udienza fissata per l’esame delle offerte e renda la dichiarazione prevista dall’art. 179 del codice civile); in caso di offerta presentata per conto e nome di una società, dovrà essere prodotto (all’udienz</w:t>
      </w:r>
      <w:r>
        <w:rPr>
          <w:shd w:val="clear" w:color="auto" w:fill="FFFFFF"/>
        </w:rPr>
        <w:t>a) certificato della C.C.I.A.A. dal quale risulti la costituzione della società ed i poteri conferiti all’offerente in udienza; in caso di offerta in nome e per conto di un minore dovrà essere inserita nella busta l’autorizzazione del Giudice Tutelare. L’offerente dovrà dichiarare residenza ed eleggere domicilio nel Comune di Reggio Emilia ai sensi dell’art. 582 c.p.c.; in mancanza, le notificazioni e comunicazioni saranno effettuate presso la Cancelleria.</w:t>
      </w:r>
    </w:p>
    <w:p w14:paraId="64998E5A" w14:textId="77777777" w:rsidR="001B36F0" w:rsidRDefault="001B5976">
      <w:pPr>
        <w:pStyle w:val="Standard"/>
        <w:spacing w:line="442" w:lineRule="exact"/>
        <w:ind w:left="28" w:right="28"/>
        <w:jc w:val="both"/>
      </w:pPr>
      <w:r>
        <w:rPr>
          <w:rStyle w:val="Carpredefinitoparagrafo1"/>
          <w:shd w:val="clear" w:color="auto" w:fill="FFFFFF"/>
        </w:rPr>
        <w:t xml:space="preserve">Nell’offerta, per la restituzione della cauzione in caso di mancata aggiudicazione del bene immobile, dovranno essere indicati l’IBAN e i dati identificativi dell’intestatario del relativo conto corrente, </w:t>
      </w:r>
      <w:r>
        <w:rPr>
          <w:rFonts w:cs="Times New Roman"/>
          <w:shd w:val="clear" w:color="auto" w:fill="FFFFFF"/>
        </w:rPr>
        <w:t>che dovranno essere i medesimi di chi ha versato la cauzione.</w:t>
      </w:r>
    </w:p>
    <w:p w14:paraId="71F70230" w14:textId="77777777" w:rsidR="001B36F0" w:rsidRDefault="001B5976">
      <w:pPr>
        <w:pStyle w:val="Standard"/>
        <w:spacing w:line="442" w:lineRule="exact"/>
        <w:ind w:left="28" w:right="28"/>
        <w:jc w:val="both"/>
        <w:rPr>
          <w:rFonts w:cs="Times New Roman"/>
          <w:b/>
          <w:bCs/>
          <w:u w:val="single"/>
          <w:shd w:val="clear" w:color="auto" w:fill="FFFFFF"/>
        </w:rPr>
      </w:pPr>
      <w:r>
        <w:rPr>
          <w:rFonts w:cs="Times New Roman"/>
          <w:b/>
          <w:bCs/>
          <w:u w:val="single"/>
          <w:shd w:val="clear" w:color="auto" w:fill="FFFFFF"/>
        </w:rPr>
        <w:t>In caso di ricorso alla figura del presentatore, si specifica che il medesimo presentatore può far pervenire per ciascuna gara l'offerta di un solo soggetto. Dopo la prima, le altre offerte sono dichiarate inammissibili. La prima è quella giunta, secondo la ricevuta generata dal sistema, in data e/o orario antecedente a tutte le altre presentate dallo stesso presentatore.</w:t>
      </w:r>
    </w:p>
    <w:p w14:paraId="2C1BD011" w14:textId="77777777" w:rsidR="001B36F0" w:rsidRDefault="001B5976">
      <w:pPr>
        <w:spacing w:line="442" w:lineRule="exact"/>
        <w:ind w:left="28" w:right="28"/>
        <w:jc w:val="both"/>
      </w:pPr>
      <w:r>
        <w:rPr>
          <w:rStyle w:val="Carpredefinitoparagrafo1"/>
          <w:shd w:val="clear" w:color="auto" w:fill="FFFFFF"/>
        </w:rPr>
        <w:t xml:space="preserve">Per la </w:t>
      </w:r>
      <w:r>
        <w:rPr>
          <w:rStyle w:val="Carpredefinitoparagrafo1"/>
          <w:b/>
          <w:bCs/>
          <w:shd w:val="clear" w:color="auto" w:fill="FFFFFF"/>
        </w:rPr>
        <w:t>sottoscrizione e trasmissione,</w:t>
      </w:r>
      <w:r>
        <w:rPr>
          <w:rStyle w:val="Carpredefinitoparagrafo1"/>
          <w:shd w:val="clear" w:color="auto" w:fill="FFFFFF"/>
        </w:rPr>
        <w:t xml:space="preserve"> in via alternativa, l’offerta: a) deve essere sottoscritta con </w:t>
      </w:r>
      <w:r>
        <w:rPr>
          <w:rStyle w:val="Carpredefinitoparagrafo1"/>
          <w:i/>
          <w:iCs/>
          <w:shd w:val="clear" w:color="auto" w:fill="FFFFFF"/>
        </w:rPr>
        <w:t>firma digitale</w:t>
      </w:r>
      <w:r>
        <w:rPr>
          <w:rStyle w:val="Carpredefinitoparagrafo1"/>
          <w:shd w:val="clear" w:color="auto" w:fill="FFFFFF"/>
        </w:rPr>
        <w:t xml:space="preserve"> e </w:t>
      </w:r>
      <w:r>
        <w:rPr>
          <w:rStyle w:val="Carpredefinitoparagrafo1"/>
          <w:shd w:val="clear" w:color="auto" w:fill="FFFFFF"/>
        </w:rPr>
        <w:t xml:space="preserve">trasmessa a mezzo di </w:t>
      </w:r>
      <w:r>
        <w:rPr>
          <w:rStyle w:val="Carpredefinitoparagrafo1"/>
          <w:i/>
          <w:iCs/>
          <w:shd w:val="clear" w:color="auto" w:fill="FFFFFF"/>
        </w:rPr>
        <w:t>casella di posta elettronica certificata</w:t>
      </w:r>
      <w:r>
        <w:rPr>
          <w:rStyle w:val="Carpredefinitoparagrafo1"/>
          <w:shd w:val="clear" w:color="auto" w:fill="FFFFFF"/>
        </w:rPr>
        <w:t xml:space="preserve">; oppure: </w:t>
      </w:r>
      <w:r>
        <w:rPr>
          <w:rStyle w:val="Carpredefinitoparagrafo1"/>
          <w:shd w:val="clear" w:color="auto" w:fill="FFFFFF"/>
        </w:rPr>
        <w:lastRenderedPageBreak/>
        <w:t xml:space="preserve">b) direttamente trasmessa a mezzo di </w:t>
      </w:r>
      <w:r>
        <w:rPr>
          <w:rStyle w:val="Carpredefinitoparagrafo1"/>
          <w:i/>
          <w:iCs/>
          <w:shd w:val="clear" w:color="auto" w:fill="FFFFFF"/>
        </w:rPr>
        <w:t>casella di posta elettronica certificata per la vendita telematica</w:t>
      </w:r>
      <w:r>
        <w:rPr>
          <w:rStyle w:val="Carpredefinitoparagrafo1"/>
          <w:shd w:val="clear" w:color="auto" w:fill="FFFFFF"/>
        </w:rPr>
        <w:t xml:space="preserve"> ai sensi dell’art. 12, comma 4 e dell’art. 13 del D.M. n. 32 del 2015, con la precisazione che, in tal caso, la trasmissione sostituisce la firma dell’offerta a condizione che: l’invio sia avvenuto richiedendo la ricevuta completa di avvenuta consegna di cui all’art. 6, comma 4 del D.P.R. n. 68 del 2005; il gestore del servizio di post</w:t>
      </w:r>
      <w:r>
        <w:rPr>
          <w:rStyle w:val="Carpredefinitoparagrafo1"/>
          <w:shd w:val="clear" w:color="auto" w:fill="FFFFFF"/>
        </w:rPr>
        <w:t>a elettronica certificata attesti nel messaggio o in un suo allegato di aver rilasciato le credenziali di accesso previa identificazione del richiedente (fermo restando che tale seconda modalità di sottoscrizione e trasmissione dell’offerta sarà concretamente operativa una volta che saranno eseguite a cura del Ministero della Giustizia le formalità di cui all’art. 13, comma 4 del D.M. n. 32 del 2015).</w:t>
      </w:r>
    </w:p>
    <w:p w14:paraId="4209F3EB" w14:textId="77777777" w:rsidR="001B36F0" w:rsidRDefault="001B5976">
      <w:pPr>
        <w:spacing w:line="442" w:lineRule="exact"/>
        <w:ind w:left="28" w:right="28"/>
        <w:jc w:val="both"/>
      </w:pPr>
      <w:r>
        <w:rPr>
          <w:shd w:val="clear" w:color="auto" w:fill="FFFFFF"/>
        </w:rPr>
        <w:t>Il presentatore dell'offerta telematica deve inserire l'offerta indicando inoltre i dati identificativi del bonifico bancario (Numero CRO) con cui ha preventivamente proceduto al versamento della cauzione, pari al 10% del prezzo offerto, nonché l'IBAN per la restituzione della stessa in caso di mancata aggiudicazione del bene immobile.</w:t>
      </w:r>
    </w:p>
    <w:p w14:paraId="12DF4CC0" w14:textId="77777777" w:rsidR="001B36F0" w:rsidRDefault="001B5976">
      <w:pPr>
        <w:spacing w:line="442" w:lineRule="exact"/>
        <w:ind w:left="28" w:right="28"/>
        <w:jc w:val="both"/>
      </w:pPr>
      <w:r>
        <w:rPr>
          <w:shd w:val="clear" w:color="auto" w:fill="FFFFFF"/>
        </w:rPr>
        <w:t>Il presentatore dell'offerta, prima di concludere la presentazione dell'offerta, deve confermare l'offerta che genererà l'hash (i.e. stringa alfanumerica) per effettuare il pagamento del bollo digitale e quindi firmare digitalmente l'offerta per la trasmissione della stessa completa e criptata al Ministero della Giustizia.</w:t>
      </w:r>
    </w:p>
    <w:p w14:paraId="1B901514" w14:textId="77777777" w:rsidR="001B36F0" w:rsidRDefault="001B5976">
      <w:pPr>
        <w:spacing w:line="442" w:lineRule="exact"/>
        <w:ind w:left="28" w:right="28"/>
        <w:jc w:val="both"/>
      </w:pPr>
      <w:r>
        <w:rPr>
          <w:rStyle w:val="Carpredefinitoparagrafo1"/>
          <w:shd w:val="clear" w:color="auto" w:fill="FFFFFF"/>
        </w:rPr>
        <w:t xml:space="preserve">L’offerta ed i relativi documenti allegati devono essere inviati all’indirizzo PEC del Ministero della Giustizia </w:t>
      </w:r>
      <w:r>
        <w:rPr>
          <w:rStyle w:val="Carpredefinitoparagrafo1"/>
          <w:u w:val="single"/>
          <w:shd w:val="clear" w:color="auto" w:fill="FFFFFF"/>
        </w:rPr>
        <w:t>offertapvp.dgsia@giustiziacert.it</w:t>
      </w:r>
      <w:r>
        <w:rPr>
          <w:rStyle w:val="Carpredefinitoparagrafo1"/>
          <w:shd w:val="clear" w:color="auto" w:fill="FFFFFF"/>
        </w:rPr>
        <w:t xml:space="preserve">, con la precisazione che: a) l’offerta si intende </w:t>
      </w:r>
      <w:r>
        <w:rPr>
          <w:rStyle w:val="Carpredefinitoparagrafo1"/>
          <w:shd w:val="clear" w:color="auto" w:fill="FFFFFF"/>
        </w:rPr>
        <w:t>depositata nel momento in cui viene generata la ricevuta completa di avvenuta consegna da parte del gestore di posta elettronica certificata del Ministero della Giustizia; b) l’offerente deve procedere al pagamento del bollo dovuto per legge con modalità telematica (segnatamente, tramite bonifico bancario o carta di credito), fermo restando che il mancato versamento del bollo non determina l’inammissibilità dell’offerta (salvo l’avvio delle procedure per il recupero coattivo).</w:t>
      </w:r>
    </w:p>
    <w:p w14:paraId="01856401" w14:textId="77777777" w:rsidR="001B36F0" w:rsidRDefault="001B5976">
      <w:pPr>
        <w:spacing w:line="442" w:lineRule="exact"/>
        <w:ind w:left="28" w:right="28"/>
        <w:jc w:val="both"/>
        <w:rPr>
          <w:shd w:val="clear" w:color="auto" w:fill="FFFFFF"/>
        </w:rPr>
      </w:pPr>
      <w:r>
        <w:rPr>
          <w:shd w:val="clear" w:color="auto" w:fill="FFFFFF"/>
        </w:rPr>
        <w:t>Nei casi di mancato funzionamento dei sistemi informativi del dominio giustizia non programmati o non comunicati ai sensi dell’art. 15, primo comma, D.M. n. 32 del 2015, l’offerta si intende depositata nel momento in cui venga generata la ricevuta di accettazione da parte del gestore di posta elettronica certificata del mittente e, in tale eventualità, previa documentazione a cura dell’offerente della tempestiva presentazione dell’offerta, il gestore della vendita è tenuto a permettere la partecipazione del</w:t>
      </w:r>
      <w:r>
        <w:rPr>
          <w:shd w:val="clear" w:color="auto" w:fill="FFFFFF"/>
        </w:rPr>
        <w:t xml:space="preserve">l’offerente </w:t>
      </w:r>
      <w:r>
        <w:rPr>
          <w:shd w:val="clear" w:color="auto" w:fill="FFFFFF"/>
        </w:rPr>
        <w:lastRenderedPageBreak/>
        <w:t>alle operazioni di vendita.</w:t>
      </w:r>
    </w:p>
    <w:p w14:paraId="755A35A1" w14:textId="77777777" w:rsidR="001B36F0" w:rsidRDefault="001B5976">
      <w:pPr>
        <w:spacing w:line="442" w:lineRule="exact"/>
        <w:ind w:left="28" w:right="28"/>
        <w:jc w:val="both"/>
      </w:pPr>
      <w:r>
        <w:rPr>
          <w:b/>
          <w:i/>
          <w:shd w:val="clear" w:color="auto" w:fill="FFFFFF"/>
        </w:rPr>
        <w:t xml:space="preserve">I) </w:t>
      </w:r>
      <w:r>
        <w:rPr>
          <w:u w:val="single"/>
          <w:shd w:val="clear" w:color="auto" w:fill="FFFFFF"/>
        </w:rPr>
        <w:t>Per partecipare alle aste non è necessario avvalersi di mediatore e/o di agenzie; gli unici ausiliari della procedura esecutiva sono il custode, il professionista delegato e il referente della procedura.</w:t>
      </w:r>
      <w:r>
        <w:rPr>
          <w:shd w:val="clear" w:color="auto" w:fill="FFFFFF"/>
        </w:rPr>
        <w:t xml:space="preserve"> </w:t>
      </w:r>
      <w:r>
        <w:rPr>
          <w:u w:val="single"/>
          <w:shd w:val="clear" w:color="auto" w:fill="FFFFFF"/>
        </w:rPr>
        <w:t>Gli annunci di vendita immobiliare pubblicizzati presso Agenzie immobiliari non attengono ad alcun rapporto (contrattuale o commerciale) fra queste ed il Tribunale, pertanto ogni eventuale costo sarà a carico dell’interessato</w:t>
      </w:r>
      <w:r>
        <w:rPr>
          <w:shd w:val="clear" w:color="auto" w:fill="FFFFFF"/>
        </w:rPr>
        <w:t>. Il Custode è disponibile, compatibilmente con gli impegni connessi all’ufficio, a</w:t>
      </w:r>
      <w:r>
        <w:rPr>
          <w:shd w:val="clear" w:color="auto" w:fill="FFFFFF"/>
        </w:rPr>
        <w:t xml:space="preserve"> fornire gratuitamente tutte le informazioni relative all’immobile, alle modalità di partecipazione alla vendita e allo stato del procedimento.</w:t>
      </w:r>
    </w:p>
    <w:p w14:paraId="20C85555" w14:textId="77777777" w:rsidR="001B36F0" w:rsidRDefault="001B5976">
      <w:pPr>
        <w:spacing w:line="442" w:lineRule="exact"/>
        <w:ind w:left="28" w:right="28"/>
        <w:jc w:val="both"/>
      </w:pPr>
      <w:r>
        <w:rPr>
          <w:b/>
          <w:i/>
          <w:shd w:val="clear" w:color="auto" w:fill="FFFFFF"/>
        </w:rPr>
        <w:t>J)</w:t>
      </w:r>
      <w:r>
        <w:rPr>
          <w:shd w:val="clear" w:color="auto" w:fill="FFFFFF"/>
        </w:rPr>
        <w:t xml:space="preserve"> Alle operazioni di vendita possono prendere parte (con modalità telematiche) – oltre agli offerenti – le parti, i loro avvocati, i creditori e i comproprietari non esecutati, nonché gli altri soggetti autorizzati dal giudice o dal referente della procedura ex art. 20/1 D.M. n. 32/2015.</w:t>
      </w:r>
    </w:p>
    <w:p w14:paraId="407E55DA" w14:textId="77777777" w:rsidR="001B36F0" w:rsidRDefault="001B5976">
      <w:pPr>
        <w:spacing w:line="442" w:lineRule="exact"/>
        <w:ind w:left="28" w:right="28"/>
        <w:jc w:val="both"/>
      </w:pPr>
      <w:r>
        <w:rPr>
          <w:rStyle w:val="Carpredefinitoparagrafo1"/>
          <w:b/>
          <w:i/>
          <w:shd w:val="clear" w:color="auto" w:fill="FFFFFF"/>
        </w:rPr>
        <w:t>K)</w:t>
      </w:r>
      <w:r>
        <w:rPr>
          <w:rStyle w:val="Carpredefinitoparagrafo1"/>
          <w:u w:val="single"/>
          <w:shd w:val="clear" w:color="auto" w:fill="FFFFFF"/>
        </w:rPr>
        <w:t xml:space="preserve"> L’offerta di acquisto non è efficace</w:t>
      </w:r>
      <w:r>
        <w:rPr>
          <w:rStyle w:val="Carpredefinitoparagrafo1"/>
          <w:shd w:val="clear" w:color="auto" w:fill="FFFFFF"/>
        </w:rPr>
        <w:t>, ex art. 571 c.p.c., se perviene oltre il termine sopra stabilito, o se è inferiore di oltre un quarto al prezzo sopra determinato, o se l’offerente non presta cauzione nella misura sopra indicata. Il mancato accredito del bonifico sul conto indicato in tempo utile è causa di nullità dell'offerta.</w:t>
      </w:r>
    </w:p>
    <w:p w14:paraId="49B059F8" w14:textId="77777777" w:rsidR="001B36F0" w:rsidRDefault="001B5976">
      <w:pPr>
        <w:tabs>
          <w:tab w:val="left" w:pos="0"/>
        </w:tabs>
        <w:spacing w:line="442" w:lineRule="exact"/>
        <w:ind w:left="28" w:right="28"/>
        <w:jc w:val="both"/>
      </w:pPr>
      <w:r>
        <w:rPr>
          <w:b/>
          <w:i/>
          <w:shd w:val="clear" w:color="auto" w:fill="FFFFFF"/>
        </w:rPr>
        <w:t xml:space="preserve">L) </w:t>
      </w:r>
      <w:r>
        <w:rPr>
          <w:u w:val="single"/>
          <w:shd w:val="clear" w:color="auto" w:fill="FFFFFF"/>
        </w:rPr>
        <w:t>All'udienza sopra fissata, le offerte criptate contenenti le domande di partecipazione per la vendita sincrona saranno aperte ed esaminate esclusivamente il giorno fissato per l’asta tenuta dal Delegato.</w:t>
      </w:r>
    </w:p>
    <w:p w14:paraId="0D786DC4" w14:textId="77777777" w:rsidR="001B36F0" w:rsidRDefault="001B5976">
      <w:pPr>
        <w:tabs>
          <w:tab w:val="left" w:pos="0"/>
        </w:tabs>
        <w:spacing w:line="442" w:lineRule="exact"/>
        <w:ind w:left="28" w:right="28"/>
        <w:jc w:val="both"/>
      </w:pPr>
      <w:r>
        <w:rPr>
          <w:b/>
          <w:i/>
          <w:shd w:val="clear" w:color="auto" w:fill="FFFFFF"/>
        </w:rPr>
        <w:t>M)</w:t>
      </w:r>
      <w:r>
        <w:rPr>
          <w:u w:val="single"/>
          <w:shd w:val="clear" w:color="auto" w:fill="FFFFFF"/>
        </w:rPr>
        <w:t xml:space="preserve"> In caso di offerta unica si deciderà sulla stessa ed in caso di più offerte si disporrà comunque la vendita sincrona sull’offerta più alta.</w:t>
      </w:r>
    </w:p>
    <w:p w14:paraId="6017B68B" w14:textId="77777777" w:rsidR="001B36F0" w:rsidRDefault="001B5976">
      <w:pPr>
        <w:spacing w:line="442" w:lineRule="exact"/>
        <w:ind w:left="28" w:right="28"/>
        <w:jc w:val="both"/>
      </w:pPr>
      <w:r>
        <w:rPr>
          <w:shd w:val="clear" w:color="auto" w:fill="FFFFFF"/>
        </w:rPr>
        <w:t>In particolare:</w:t>
      </w:r>
    </w:p>
    <w:p w14:paraId="08C2D122" w14:textId="77777777" w:rsidR="001B36F0" w:rsidRDefault="001B5976">
      <w:pPr>
        <w:spacing w:line="442" w:lineRule="exact"/>
        <w:ind w:left="28" w:right="28"/>
        <w:jc w:val="both"/>
      </w:pPr>
      <w:r>
        <w:rPr>
          <w:shd w:val="clear" w:color="auto" w:fill="FFFFFF"/>
        </w:rPr>
        <w:t>- qualora l’unica offerta o quella risultante al termine della gara sia pari o superiore al prezzo base, si procederà all’aggiudicazione;</w:t>
      </w:r>
    </w:p>
    <w:p w14:paraId="34DDC8A3" w14:textId="77777777" w:rsidR="001B36F0" w:rsidRDefault="001B5976">
      <w:pPr>
        <w:spacing w:line="442" w:lineRule="exact"/>
        <w:ind w:left="28" w:right="28"/>
        <w:jc w:val="both"/>
      </w:pPr>
      <w:r>
        <w:rPr>
          <w:shd w:val="clear" w:color="auto" w:fill="FFFFFF"/>
        </w:rPr>
        <w:t>- qualora l’unica offerta sia inferiore al prezzo base ma pari o superiore al 75% dello stesso (offerta minima), previa consultazione delle parti e del Custode, si procederà ad aggiudicazione sempre che non vi sia una seria possibilità di conseguire un prezzo superiore con una nuova vendita ex art. 572 c.p.c. e sempre che non sia stata presentata istanza di assegnazione ex art. 588 c.p.c.;</w:t>
      </w:r>
    </w:p>
    <w:p w14:paraId="3B66F366" w14:textId="77777777" w:rsidR="001B36F0" w:rsidRDefault="001B5976">
      <w:pPr>
        <w:spacing w:line="442" w:lineRule="exact"/>
        <w:ind w:left="28" w:right="28"/>
        <w:jc w:val="both"/>
      </w:pPr>
      <w:r>
        <w:rPr>
          <w:shd w:val="clear" w:color="auto" w:fill="FFFFFF"/>
        </w:rPr>
        <w:t xml:space="preserve">- qualora l’offerta più alta risultante al termine della gara sia inferiore al prezzo base ma pari o superiore al 75% dello stesso (offerta minima), si procederà ad aggiudicazione </w:t>
      </w:r>
      <w:r>
        <w:rPr>
          <w:shd w:val="clear" w:color="auto" w:fill="FFFFFF"/>
        </w:rPr>
        <w:lastRenderedPageBreak/>
        <w:t>sempre che non sia stata presentata istanza di assegnazione ex art. 588 c.p.c.;</w:t>
      </w:r>
    </w:p>
    <w:p w14:paraId="77947641" w14:textId="77777777" w:rsidR="001B36F0" w:rsidRDefault="001B5976">
      <w:pPr>
        <w:spacing w:line="442" w:lineRule="exact"/>
        <w:ind w:left="28" w:right="28"/>
        <w:jc w:val="both"/>
      </w:pPr>
      <w:r>
        <w:rPr>
          <w:shd w:val="clear" w:color="auto" w:fill="FFFFFF"/>
        </w:rPr>
        <w:t>- qualora l’offerta sia inferiore al 75% del prezzo base (offerta minima), la stessa è inefficace;</w:t>
      </w:r>
    </w:p>
    <w:p w14:paraId="15899287" w14:textId="77777777" w:rsidR="001B36F0" w:rsidRDefault="001B5976">
      <w:pPr>
        <w:spacing w:line="442" w:lineRule="exact"/>
        <w:ind w:left="28" w:right="28"/>
        <w:jc w:val="both"/>
      </w:pPr>
      <w:r>
        <w:rPr>
          <w:shd w:val="clear" w:color="auto" w:fill="FFFFFF"/>
        </w:rPr>
        <w:t>- qualora la gara non possa avere luogo per mancanza di adesioni degli offerenti, l’aggiudicazione sarà effettuata a favore del maggiore offerente; nel caso di plurime offerte di eguale importo, qualora non si faccia luogo alla gara, l’immobile sarà aggiudicato all’offerente che per primo ha depositato l’offerta;</w:t>
      </w:r>
    </w:p>
    <w:p w14:paraId="59C702B5" w14:textId="77777777" w:rsidR="001B36F0" w:rsidRDefault="001B5976">
      <w:pPr>
        <w:spacing w:line="442" w:lineRule="exact"/>
        <w:ind w:left="28" w:right="28"/>
        <w:jc w:val="both"/>
      </w:pPr>
      <w:r>
        <w:rPr>
          <w:shd w:val="clear" w:color="auto" w:fill="FFFFFF"/>
        </w:rPr>
        <w:t>- nella gara i rilanci sull’offerta più alta non potranno essere inferiori a € 1.000,00 per gli immobili aventi prezzo-base inferiore a € 50.000,00 e ad € 2.000,00 per gli immobili aventi prezzo-base di € 50.000,00 o superiore;</w:t>
      </w:r>
    </w:p>
    <w:p w14:paraId="42BFC666" w14:textId="77777777" w:rsidR="001B36F0" w:rsidRDefault="001B5976">
      <w:pPr>
        <w:spacing w:line="442" w:lineRule="exact"/>
        <w:ind w:left="28" w:right="28"/>
        <w:jc w:val="both"/>
      </w:pPr>
      <w:r>
        <w:rPr>
          <w:shd w:val="clear" w:color="auto" w:fill="FFFFFF"/>
        </w:rPr>
        <w:t>- allorché sia trascorso 1 minuto dall’ultima offerta senza che ne segua un’altra maggiore, la gara è vinta dall’ultimo offerente.</w:t>
      </w:r>
    </w:p>
    <w:p w14:paraId="522B1F6E" w14:textId="77777777" w:rsidR="001B36F0" w:rsidRDefault="001B5976">
      <w:pPr>
        <w:spacing w:line="442" w:lineRule="exact"/>
        <w:ind w:left="28" w:right="28"/>
        <w:jc w:val="both"/>
      </w:pPr>
      <w:r>
        <w:rPr>
          <w:rStyle w:val="Carpredefinitoparagrafo1"/>
          <w:shd w:val="clear" w:color="auto" w:fill="FFFFFF"/>
        </w:rPr>
        <w:t>Se l’offerente non diviene aggiudicatario, la cauzione è immediatamente restituita dopo la chiusura dell’udienza</w:t>
      </w:r>
      <w:r>
        <w:rPr>
          <w:rStyle w:val="Carpredefinitoparagrafo1"/>
          <w:i/>
          <w:iCs/>
          <w:shd w:val="clear" w:color="auto" w:fill="FFFFFF"/>
        </w:rPr>
        <w:t>.</w:t>
      </w:r>
      <w:r>
        <w:rPr>
          <w:rStyle w:val="Carpredefinitoparagrafo1"/>
          <w:shd w:val="clear" w:color="auto" w:fill="FFFFFF"/>
        </w:rPr>
        <w:t xml:space="preserve"> In particolare, gli importi depositati dagli offerenti a titolo di cauzione saranno, se bonificati, riaccreditati tempestivamente a coloro che non siano aggiudicatari.</w:t>
      </w:r>
    </w:p>
    <w:p w14:paraId="5B6199C6" w14:textId="77777777" w:rsidR="001B36F0" w:rsidRDefault="001B5976">
      <w:pPr>
        <w:spacing w:line="442" w:lineRule="exact"/>
        <w:ind w:left="28" w:right="28"/>
        <w:jc w:val="both"/>
      </w:pPr>
      <w:r>
        <w:rPr>
          <w:u w:val="single"/>
          <w:shd w:val="clear" w:color="auto" w:fill="FFFFFF"/>
        </w:rPr>
        <w:t xml:space="preserve">L'aggiudicatario dovrà depositare sul libretto bancario o c/c </w:t>
      </w:r>
      <w:r>
        <w:rPr>
          <w:u w:val="single"/>
          <w:shd w:val="clear" w:color="auto" w:fill="FFFFFF"/>
        </w:rPr>
        <w:t xml:space="preserve">sopraindicato il residuo prezzo, gli oneri fiscali e tributari e i compensi spettanti al delegato per redazione, registrazione, trascrizione e voltura del decreto di trasferimento (pari al 50% del totale), somme che il Notaio comunicherà all’aggiudicatario entro 10 giorni dall’aggiudicazione, detratto l’importo per cauzione già versato. </w:t>
      </w:r>
      <w:r>
        <w:rPr>
          <w:b/>
          <w:u w:val="single"/>
          <w:shd w:val="clear" w:color="auto" w:fill="FFFFFF"/>
        </w:rPr>
        <w:t>I</w:t>
      </w:r>
      <w:r>
        <w:rPr>
          <w:b/>
          <w:bCs/>
          <w:u w:val="single"/>
          <w:shd w:val="clear" w:color="auto" w:fill="FFFFFF"/>
        </w:rPr>
        <w:t xml:space="preserve">l termine per il deposito è inderogabilmente e improrogabilmente di </w:t>
      </w:r>
      <w:r>
        <w:rPr>
          <w:b/>
          <w:bCs/>
          <w:sz w:val="30"/>
          <w:szCs w:val="30"/>
          <w:u w:val="single"/>
          <w:shd w:val="clear" w:color="auto" w:fill="FFFFFF"/>
        </w:rPr>
        <w:t xml:space="preserve">120 giorni </w:t>
      </w:r>
      <w:r>
        <w:rPr>
          <w:b/>
          <w:bCs/>
          <w:u w:val="single"/>
          <w:shd w:val="clear" w:color="auto" w:fill="FFFFFF"/>
        </w:rPr>
        <w:t>dall’aggiudicazione (termine non considerato soggetto a sospensione feriale, né a proroga)</w:t>
      </w:r>
      <w:r>
        <w:rPr>
          <w:rStyle w:val="Carpredefinitoparagrafo1"/>
          <w:shd w:val="clear" w:color="auto" w:fill="FFFFFF"/>
        </w:rPr>
        <w:t>; a</w:t>
      </w:r>
      <w:r>
        <w:rPr>
          <w:rStyle w:val="Carpredefinitoparagrafo1"/>
          <w:shd w:val="clear" w:color="auto" w:fill="FFFFFF"/>
        </w:rPr>
        <w:t xml:space="preserve">i fini dell’art. 1193 c.c., è stabilito che qualunque somma versata sarà imputata prima alle spese di trasferimento e poi al residuo prezzo; nello stesso termine di 120 giorni dovrà essere depositata – presso l’Associazione Notarile per le Esecuzioni Immobiliari presso il Tribunale di Reggio Emilia (piano terreno – via Paterlini 1) – la ricevuta dell’avvenuta operazione a saldo; non si ritengono sussistenti “giustificati motivi” per procedere ad una ulteriore rateizzazione del versamento del prezzo ex art. </w:t>
      </w:r>
      <w:r>
        <w:rPr>
          <w:rStyle w:val="Carpredefinitoparagrafo1"/>
          <w:shd w:val="clear" w:color="auto" w:fill="FFFFFF"/>
        </w:rPr>
        <w:t>569 comma 3 c.p.c.</w:t>
      </w:r>
    </w:p>
    <w:p w14:paraId="4A552077" w14:textId="77777777" w:rsidR="001B36F0" w:rsidRDefault="001B5976">
      <w:pPr>
        <w:tabs>
          <w:tab w:val="left" w:pos="0"/>
        </w:tabs>
        <w:spacing w:line="442" w:lineRule="exact"/>
        <w:ind w:left="28" w:right="28"/>
        <w:jc w:val="both"/>
      </w:pPr>
      <w:r>
        <w:rPr>
          <w:b/>
          <w:i/>
          <w:shd w:val="clear" w:color="auto" w:fill="FFFFFF"/>
        </w:rPr>
        <w:t xml:space="preserve">N) </w:t>
      </w:r>
      <w:r>
        <w:rPr>
          <w:shd w:val="clear" w:color="auto" w:fill="FFFFFF"/>
        </w:rPr>
        <w:t xml:space="preserve">L'aggiudicatario potrà versare il prezzo tramite mutuo ipotecario con garanzia sul medesimo immobile oggetto della vendita (è possibile richiedere informazioni in proposito all’Istituto Vendite Giudiziarie); in tal caso dovrà darne esplicita comunicazione </w:t>
      </w:r>
      <w:r>
        <w:rPr>
          <w:shd w:val="clear" w:color="auto" w:fill="FFFFFF"/>
        </w:rPr>
        <w:lastRenderedPageBreak/>
        <w:t>al Notaio delegato.</w:t>
      </w:r>
    </w:p>
    <w:p w14:paraId="3ECB3F69" w14:textId="77777777" w:rsidR="001B36F0" w:rsidRDefault="001B5976">
      <w:pPr>
        <w:tabs>
          <w:tab w:val="left" w:pos="0"/>
        </w:tabs>
        <w:spacing w:line="442" w:lineRule="exact"/>
        <w:ind w:left="28" w:right="28"/>
        <w:jc w:val="both"/>
      </w:pPr>
      <w:r>
        <w:rPr>
          <w:rFonts w:cs="Times New Roman"/>
          <w:b/>
          <w:i/>
          <w:shd w:val="clear" w:color="auto" w:fill="FFFFFF"/>
        </w:rPr>
        <w:t>O)</w:t>
      </w:r>
      <w:r>
        <w:rPr>
          <w:rFonts w:cs="Times New Roman"/>
          <w:shd w:val="clear" w:color="auto" w:fill="FFFFFF"/>
        </w:rPr>
        <w:t xml:space="preserve"> L'aggiudicatario dovrà avanzare la </w:t>
      </w:r>
      <w:r>
        <w:rPr>
          <w:rFonts w:cs="Times New Roman"/>
        </w:rPr>
        <w:t>richiesta di attuazione da parte del custode giudiziario dell'ordine di liberazione non prima del versamento del saldo prezzo e comunque entro trenta giorni dal versamento del saldo prezzo; e non oltre - quale termine massimo - l'emissione del decreto di trasferimento. L'istanza deve essere proposta al Custode giudiziario IVG di Reggio Emilia, che provvederà a depositarla nel fascicolo dell'esecuzione.</w:t>
      </w:r>
    </w:p>
    <w:p w14:paraId="164C723E" w14:textId="77777777" w:rsidR="001B36F0" w:rsidRDefault="001B5976">
      <w:pPr>
        <w:tabs>
          <w:tab w:val="left" w:pos="0"/>
        </w:tabs>
        <w:spacing w:line="442" w:lineRule="exact"/>
        <w:ind w:left="28" w:right="28"/>
        <w:jc w:val="both"/>
      </w:pPr>
      <w:r>
        <w:rPr>
          <w:b/>
          <w:i/>
          <w:shd w:val="clear" w:color="auto" w:fill="FFFFFF"/>
        </w:rPr>
        <w:t xml:space="preserve">P) </w:t>
      </w:r>
      <w:r>
        <w:rPr>
          <w:shd w:val="clear" w:color="auto" w:fill="FFFFFF"/>
        </w:rPr>
        <w:t>Tutte le ulteriori attività inerenti alla vendita che debbono essere compiute in Cancelleria o davanti al Giudice dell’Esecuzione o dal Cancelliere o dal Giudice dell’Esecuzione dovranno essere effettuate dal Notaio delegato presso gli uffici del Tribunale, e ogni ulteriore informazione potrà essere richiesta dagli interessati allo stesso Notaio presso l’Associazione Notarile per le Esecuzioni Immobiliari o al custode giudiziario.</w:t>
      </w:r>
    </w:p>
    <w:p w14:paraId="0DC778DD" w14:textId="77777777" w:rsidR="001B36F0" w:rsidRDefault="001B5976">
      <w:pPr>
        <w:pStyle w:val="Corpotesto"/>
        <w:spacing w:after="0" w:line="442" w:lineRule="exact"/>
        <w:ind w:left="28" w:right="28"/>
        <w:jc w:val="center"/>
      </w:pPr>
      <w:r>
        <w:rPr>
          <w:b/>
          <w:bCs/>
          <w:smallCaps/>
          <w:u w:val="single"/>
          <w:shd w:val="clear" w:color="auto" w:fill="FFFFFF"/>
        </w:rPr>
        <w:t>ulteriori informazioni</w:t>
      </w:r>
    </w:p>
    <w:p w14:paraId="38745C93" w14:textId="77777777" w:rsidR="001B36F0" w:rsidRDefault="001B5976">
      <w:pPr>
        <w:pStyle w:val="Corpotesto"/>
        <w:spacing w:after="0" w:line="442" w:lineRule="exact"/>
        <w:ind w:left="28" w:right="28"/>
        <w:jc w:val="both"/>
      </w:pPr>
      <w:r>
        <w:rPr>
          <w:rStyle w:val="Carpredefinitoparagrafo1"/>
          <w:shd w:val="clear" w:color="auto" w:fill="FFFFFF"/>
        </w:rPr>
        <w:t xml:space="preserve">Sui siti Internet </w:t>
      </w:r>
      <w:r>
        <w:rPr>
          <w:rStyle w:val="Carpredefinitoparagrafo1"/>
          <w:b/>
          <w:shd w:val="clear" w:color="auto" w:fill="FFFFFF"/>
        </w:rPr>
        <w:t>www.ivgreggioemilia.it</w:t>
      </w:r>
      <w:r>
        <w:rPr>
          <w:rStyle w:val="Carpredefinitoparagrafo1"/>
          <w:b/>
          <w:shd w:val="clear" w:color="auto" w:fill="FFFFFF"/>
        </w:rPr>
        <w:tab/>
      </w:r>
      <w:r>
        <w:rPr>
          <w:rStyle w:val="Carpredefinitoparagrafo1"/>
          <w:shd w:val="clear" w:color="auto" w:fill="FFFFFF"/>
        </w:rPr>
        <w:t xml:space="preserve">e </w:t>
      </w:r>
      <w:r>
        <w:rPr>
          <w:rStyle w:val="Carpredefinitoparagrafo1"/>
          <w:b/>
          <w:bCs/>
          <w:shd w:val="clear" w:color="auto" w:fill="FFFFFF"/>
        </w:rPr>
        <w:t xml:space="preserve">https://pvp.giustizia.it/pvp/ </w:t>
      </w:r>
      <w:r>
        <w:rPr>
          <w:rStyle w:val="Carpredefinitoparagrafo1"/>
          <w:shd w:val="clear" w:color="auto" w:fill="FFFFFF"/>
        </w:rPr>
        <w:t>sarà pubblicata e disponibile la relazione di stima dell’esperto.</w:t>
      </w:r>
    </w:p>
    <w:p w14:paraId="63104645" w14:textId="54741D1C" w:rsidR="001B36F0" w:rsidRDefault="001B5976">
      <w:pPr>
        <w:pStyle w:val="Corpotesto"/>
        <w:spacing w:after="0" w:line="442" w:lineRule="exact"/>
        <w:ind w:left="28" w:right="28"/>
        <w:jc w:val="both"/>
      </w:pPr>
      <w:r>
        <w:rPr>
          <w:rStyle w:val="Carpredefinitoparagrafo1"/>
          <w:shd w:val="clear" w:color="auto" w:fill="FFFFFF"/>
        </w:rPr>
        <w:t xml:space="preserve">Il gestore  </w:t>
      </w:r>
      <w:r>
        <w:rPr>
          <w:rStyle w:val="Carpredefinitoparagrafo1"/>
          <w:b/>
          <w:bCs/>
          <w:shd w:val="clear" w:color="auto" w:fill="FFFFFF"/>
        </w:rPr>
        <w:t>della vendita telematica</w:t>
      </w:r>
      <w:r>
        <w:rPr>
          <w:rStyle w:val="Carpredefinitoparagrafo1"/>
          <w:shd w:val="clear" w:color="auto" w:fill="FFFFFF"/>
        </w:rPr>
        <w:t xml:space="preserve"> </w:t>
      </w:r>
      <w:r>
        <w:rPr>
          <w:rStyle w:val="Carpredefinitoparagrafo1"/>
          <w:b/>
          <w:bCs/>
          <w:shd w:val="clear" w:color="auto" w:fill="FFFFFF"/>
        </w:rPr>
        <w:t>– -----</w:t>
      </w:r>
      <w:r>
        <w:rPr>
          <w:rStyle w:val="Carpredefinitoparagrafo1"/>
          <w:b/>
          <w:bCs/>
          <w:shd w:val="clear" w:color="auto" w:fill="FFFFFF"/>
        </w:rPr>
        <w:t>. con la piattaforma -------</w:t>
      </w:r>
      <w:r>
        <w:rPr>
          <w:rStyle w:val="Carpredefinitoparagrafo1"/>
          <w:b/>
          <w:bCs/>
          <w:shd w:val="clear" w:color="auto" w:fill="FFFFFF"/>
        </w:rPr>
        <w:t xml:space="preserve">, è </w:t>
      </w:r>
      <w:r>
        <w:rPr>
          <w:rStyle w:val="Carpredefinitoparagrafo1"/>
          <w:rFonts w:eastAsia="Times New Roman"/>
          <w:b/>
          <w:bCs/>
          <w:color w:val="000000"/>
          <w:u w:val="single"/>
          <w:shd w:val="clear" w:color="auto" w:fill="FFFFFF"/>
        </w:rPr>
        <w:t xml:space="preserve">raggiungibile sul sito  </w:t>
      </w:r>
      <w:r>
        <w:rPr>
          <w:rStyle w:val="Carpredefinitoparagrafo1"/>
          <w:rFonts w:eastAsia="Times New Roman"/>
          <w:b/>
          <w:bCs/>
          <w:color w:val="0000FF"/>
          <w:u w:val="single"/>
          <w:shd w:val="clear" w:color="auto" w:fill="FFFFFF"/>
        </w:rPr>
        <w:t>-----</w:t>
      </w:r>
    </w:p>
    <w:p w14:paraId="0264C13A" w14:textId="77777777" w:rsidR="001B36F0" w:rsidRDefault="001B5976">
      <w:pPr>
        <w:pStyle w:val="Corpotesto"/>
        <w:spacing w:after="0" w:line="442" w:lineRule="exact"/>
        <w:ind w:left="28" w:right="28"/>
        <w:jc w:val="both"/>
      </w:pPr>
      <w:r>
        <w:rPr>
          <w:rStyle w:val="Carpredefinitoparagrafo1"/>
          <w:b/>
          <w:shd w:val="clear" w:color="auto" w:fill="FFFFFF"/>
        </w:rPr>
        <w:t xml:space="preserve">Il Giudice </w:t>
      </w:r>
      <w:r>
        <w:rPr>
          <w:rStyle w:val="Carpredefinitoparagrafo1"/>
          <w:b/>
          <w:shd w:val="clear" w:color="auto" w:fill="FFFFFF"/>
        </w:rPr>
        <w:t xml:space="preserve">dell’Esecuzione ha nominato Custode Giudiziario, in sostituzione del/i debitore/i l’Istituto Vendite Giudiziarie di Reggio Emilia (con sede in via Saragat 19 – tel. 0522 513174 – fax 0522 271150) </w:t>
      </w:r>
      <w:r>
        <w:rPr>
          <w:rStyle w:val="Carpredefinitoparagrafo1"/>
          <w:shd w:val="clear" w:color="auto" w:fill="FFFFFF"/>
        </w:rPr>
        <w:t>con l’incarico, tra l’altro di:</w:t>
      </w:r>
    </w:p>
    <w:p w14:paraId="6E5580B8" w14:textId="77777777" w:rsidR="001B36F0" w:rsidRDefault="001B5976">
      <w:pPr>
        <w:pStyle w:val="Corpotesto"/>
        <w:spacing w:after="0" w:line="442" w:lineRule="exact"/>
        <w:ind w:left="28" w:right="28"/>
        <w:jc w:val="both"/>
      </w:pPr>
      <w:r>
        <w:rPr>
          <w:shd w:val="clear" w:color="auto" w:fill="FFFFFF"/>
        </w:rPr>
        <w:t>- fornire ogni utile informazione (anche telefonica) a eventuali acquirenti sulle modalità di vendita dell’immobile, sulle caratteristiche e sulla consistenza del bene e, in genere, sulla vendita giudiziaria, anche fornendo ed inviando agli interessati (anche tramite e-mail o fax), copia/e dell’ordinanza di vendita, della/e relazione/i del custode e della perizia di stima;</w:t>
      </w:r>
    </w:p>
    <w:p w14:paraId="61380AF4" w14:textId="77777777" w:rsidR="001B36F0" w:rsidRDefault="001B5976">
      <w:pPr>
        <w:pStyle w:val="Corpotesto"/>
        <w:spacing w:after="0" w:line="442" w:lineRule="exact"/>
        <w:ind w:left="28" w:right="28"/>
        <w:jc w:val="both"/>
      </w:pPr>
      <w:r>
        <w:rPr>
          <w:shd w:val="clear" w:color="auto" w:fill="FFFFFF"/>
        </w:rPr>
        <w:t>- organizzare le visite all’immobile da parte degli interessati adottando tutti gli accorgimenti necessari al fine di evitare che gli stessi possano entrare in contatto tra di loro (visite singole e ad orari differenziati) ed evitando di rivelare ai richiedenti se vi sono (o non vi sono) altre persone interessate e i loro nomi;</w:t>
      </w:r>
    </w:p>
    <w:p w14:paraId="3E092A00" w14:textId="77777777" w:rsidR="001B36F0" w:rsidRDefault="001B5976">
      <w:pPr>
        <w:pStyle w:val="Corpotesto"/>
        <w:spacing w:after="0" w:line="442" w:lineRule="exact"/>
        <w:ind w:left="28" w:right="28"/>
        <w:jc w:val="both"/>
      </w:pPr>
      <w:r>
        <w:rPr>
          <w:shd w:val="clear" w:color="auto" w:fill="FFFFFF"/>
        </w:rPr>
        <w:t>- fornire agli interessati il modulo prestampato per la formulazione dell’offerta di acquisto;</w:t>
      </w:r>
    </w:p>
    <w:p w14:paraId="009D2968" w14:textId="77777777" w:rsidR="001B36F0" w:rsidRDefault="001B5976">
      <w:pPr>
        <w:pStyle w:val="Corpotesto"/>
        <w:spacing w:after="0" w:line="442" w:lineRule="exact"/>
        <w:ind w:left="28" w:right="28"/>
        <w:jc w:val="both"/>
      </w:pPr>
      <w:r>
        <w:rPr>
          <w:shd w:val="clear" w:color="auto" w:fill="FFFFFF"/>
        </w:rPr>
        <w:t xml:space="preserve">- prestare assistenza agli interessati all’acquisto nell’imminenza dell’udienza fissata per </w:t>
      </w:r>
      <w:r>
        <w:rPr>
          <w:shd w:val="clear" w:color="auto" w:fill="FFFFFF"/>
        </w:rPr>
        <w:lastRenderedPageBreak/>
        <w:t>l’esame delle offerte e nel corso di questa e a fornire ai predetti l’aggiornamento sullo stato dell’immobile.</w:t>
      </w:r>
    </w:p>
    <w:p w14:paraId="284A215F" w14:textId="77777777" w:rsidR="001B36F0" w:rsidRDefault="001B5976">
      <w:pPr>
        <w:pStyle w:val="Corpotesto"/>
        <w:spacing w:after="0" w:line="442" w:lineRule="exact"/>
        <w:ind w:left="28" w:right="28"/>
        <w:jc w:val="both"/>
      </w:pPr>
      <w:r>
        <w:rPr>
          <w:shd w:val="clear" w:color="auto" w:fill="FFFFFF"/>
        </w:rPr>
        <w:t>Eventuali informazioni, anche relative alle generalità del debitore, possono essere fornite dalla Cancelleria del Tribunale a chiunque vi abbia interesse previa istanza scritta e autorizzazione del Giudice dell’Esecuzione.</w:t>
      </w:r>
    </w:p>
    <w:p w14:paraId="3EEF01E5" w14:textId="60C75198" w:rsidR="001B36F0" w:rsidRDefault="001B5976">
      <w:pPr>
        <w:pStyle w:val="Textbody"/>
        <w:spacing w:after="0" w:line="442" w:lineRule="exact"/>
        <w:ind w:left="28" w:right="28"/>
        <w:jc w:val="both"/>
      </w:pPr>
      <w:r>
        <w:rPr>
          <w:rFonts w:cs="Times New Roman"/>
          <w:b/>
          <w:bCs/>
          <w:u w:val="single"/>
          <w:shd w:val="clear" w:color="auto" w:fill="FFFFFF"/>
        </w:rPr>
        <w:t>Il Contact Center del Gestore ------</w:t>
      </w:r>
      <w:r>
        <w:rPr>
          <w:rFonts w:cs="Times New Roman"/>
          <w:b/>
          <w:bCs/>
          <w:u w:val="single"/>
          <w:shd w:val="clear" w:color="auto" w:fill="FFFFFF"/>
        </w:rPr>
        <w:t xml:space="preserve"> dedicato alle vendite telematiche è raggiungibile attraverso i seguenti mezzi di contatto:</w:t>
      </w:r>
    </w:p>
    <w:p w14:paraId="72287F00" w14:textId="57F7D028" w:rsidR="001B36F0" w:rsidRDefault="001B5976">
      <w:pPr>
        <w:pStyle w:val="Textbody"/>
        <w:spacing w:after="0" w:line="442" w:lineRule="exact"/>
        <w:ind w:left="28" w:right="28"/>
        <w:jc w:val="both"/>
      </w:pPr>
      <w:r>
        <w:rPr>
          <w:rFonts w:cs="Times New Roman"/>
          <w:b/>
          <w:bCs/>
          <w:shd w:val="clear" w:color="auto" w:fill="FFFFFF"/>
        </w:rPr>
        <w:t xml:space="preserve">- E-mail: </w:t>
      </w:r>
      <w:r>
        <w:t>-</w:t>
      </w:r>
    </w:p>
    <w:p w14:paraId="169D0C34" w14:textId="75116011" w:rsidR="001B36F0" w:rsidRDefault="001B5976">
      <w:pPr>
        <w:pStyle w:val="Textbody"/>
        <w:spacing w:after="0" w:line="442" w:lineRule="exact"/>
        <w:ind w:left="28" w:right="28"/>
        <w:jc w:val="both"/>
        <w:rPr>
          <w:rFonts w:cs="Times New Roman"/>
          <w:b/>
          <w:bCs/>
          <w:shd w:val="clear" w:color="auto" w:fill="FFFFFF"/>
        </w:rPr>
      </w:pPr>
      <w:r>
        <w:rPr>
          <w:rFonts w:cs="Times New Roman"/>
          <w:b/>
          <w:bCs/>
          <w:shd w:val="clear" w:color="auto" w:fill="FFFFFF"/>
        </w:rPr>
        <w:t>- Help Desk telefonico: -</w:t>
      </w:r>
    </w:p>
    <w:p w14:paraId="21E9DB45" w14:textId="77777777" w:rsidR="001B36F0" w:rsidRDefault="001B5976">
      <w:pPr>
        <w:pStyle w:val="Corpotesto"/>
        <w:tabs>
          <w:tab w:val="left" w:pos="842"/>
        </w:tabs>
        <w:autoSpaceDE w:val="0"/>
        <w:spacing w:after="0" w:line="442" w:lineRule="exact"/>
        <w:ind w:left="28" w:right="28"/>
        <w:jc w:val="both"/>
        <w:textAlignment w:val="auto"/>
      </w:pPr>
      <w:r>
        <w:rPr>
          <w:rFonts w:eastAsia="Times New Roman"/>
          <w:shd w:val="clear" w:color="auto" w:fill="FFFFFF"/>
        </w:rPr>
        <w:t>Reggio Emilia,</w:t>
      </w:r>
    </w:p>
    <w:p w14:paraId="238D9845" w14:textId="29B5BADA" w:rsidR="001B36F0" w:rsidRDefault="001B5976">
      <w:pPr>
        <w:pStyle w:val="Corpotesto"/>
        <w:tabs>
          <w:tab w:val="left" w:pos="814"/>
        </w:tabs>
        <w:autoSpaceDE w:val="0"/>
        <w:spacing w:after="0" w:line="442" w:lineRule="exact"/>
        <w:ind w:left="28" w:right="28"/>
        <w:jc w:val="right"/>
        <w:textAlignment w:val="auto"/>
      </w:pPr>
      <w:r>
        <w:rPr>
          <w:rFonts w:eastAsia="Times New Roman"/>
          <w:b/>
          <w:bCs/>
          <w:i/>
          <w:iCs/>
          <w:shd w:val="clear" w:color="auto" w:fill="FFFFFF"/>
        </w:rPr>
        <w:t>Il delegato</w:t>
      </w:r>
      <w:r>
        <w:rPr>
          <w:rFonts w:eastAsia="Times New Roman"/>
          <w:b/>
          <w:bCs/>
          <w:i/>
          <w:iCs/>
          <w:shd w:val="clear" w:color="auto" w:fill="FFFFFF"/>
        </w:rPr>
        <w:tab/>
      </w:r>
      <w:r>
        <w:rPr>
          <w:rFonts w:eastAsia="Times New Roman"/>
          <w:b/>
          <w:bCs/>
          <w:i/>
          <w:iCs/>
          <w:shd w:val="clear" w:color="auto" w:fill="FFFFFF"/>
        </w:rPr>
        <w:tab/>
      </w:r>
      <w:r>
        <w:rPr>
          <w:rFonts w:eastAsia="Times New Roman"/>
          <w:b/>
          <w:bCs/>
          <w:i/>
          <w:iCs/>
          <w:shd w:val="clear" w:color="auto" w:fill="FFFFFF"/>
        </w:rPr>
        <w:tab/>
      </w:r>
    </w:p>
    <w:sectPr w:rsidR="001B36F0">
      <w:headerReference w:type="default" r:id="rId7"/>
      <w:footerReference w:type="default" r:id="rId8"/>
      <w:pgSz w:w="11906" w:h="16838"/>
      <w:pgMar w:top="1332" w:right="1644" w:bottom="1281" w:left="1644"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3E3FB3" w14:textId="77777777" w:rsidR="001B5976" w:rsidRDefault="001B5976">
      <w:r>
        <w:separator/>
      </w:r>
    </w:p>
  </w:endnote>
  <w:endnote w:type="continuationSeparator" w:id="0">
    <w:p w14:paraId="7B05D87E" w14:textId="77777777" w:rsidR="001B5976" w:rsidRDefault="001B5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PSMT"/>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Schoolbook">
    <w:charset w:val="00"/>
    <w:family w:val="roman"/>
    <w:pitch w:val="variable"/>
    <w:sig w:usb0="00000287" w:usb1="000000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OpenSymbol">
    <w:charset w:val="00"/>
    <w:family w:val="auto"/>
    <w:pitch w:val="variable"/>
  </w:font>
  <w:font w:name="Candara, Candara">
    <w:charset w:val="00"/>
    <w:family w:val="swiss"/>
    <w:pitch w:val="default"/>
  </w:font>
  <w:font w:name="Courier">
    <w:altName w:val="Courier New"/>
    <w:panose1 w:val="02070409020205020404"/>
    <w:charset w:val="00"/>
    <w:family w:val="modern"/>
    <w:pitch w:val="fixed"/>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E341C8" w14:textId="77777777" w:rsidR="001B5976" w:rsidRDefault="001B5976">
    <w:pPr>
      <w:pStyle w:val="Standard"/>
      <w:jc w:val="center"/>
    </w:pPr>
    <w:r>
      <w:rPr>
        <w:rFonts w:ascii="Courier" w:hAnsi="Courier"/>
        <w:sz w:val="22"/>
        <w:szCs w:val="22"/>
      </w:rPr>
      <w:t xml:space="preserve">- </w:t>
    </w:r>
    <w:r>
      <w:rPr>
        <w:rFonts w:ascii="Courier" w:hAnsi="Courier"/>
        <w:sz w:val="22"/>
        <w:szCs w:val="22"/>
      </w:rPr>
      <w:fldChar w:fldCharType="begin"/>
    </w:r>
    <w:r>
      <w:rPr>
        <w:rFonts w:ascii="Courier" w:hAnsi="Courier"/>
        <w:sz w:val="22"/>
        <w:szCs w:val="22"/>
      </w:rPr>
      <w:instrText xml:space="preserve"> PAGE </w:instrText>
    </w:r>
    <w:r>
      <w:rPr>
        <w:rFonts w:ascii="Courier" w:hAnsi="Courier"/>
        <w:sz w:val="22"/>
        <w:szCs w:val="22"/>
      </w:rPr>
      <w:fldChar w:fldCharType="separate"/>
    </w:r>
    <w:r>
      <w:rPr>
        <w:rFonts w:ascii="Courier" w:hAnsi="Courier"/>
        <w:sz w:val="22"/>
        <w:szCs w:val="22"/>
      </w:rPr>
      <w:t>9</w:t>
    </w:r>
    <w:r>
      <w:rPr>
        <w:rFonts w:ascii="Courier" w:hAnsi="Courier"/>
        <w:sz w:val="22"/>
        <w:szCs w:val="22"/>
      </w:rPr>
      <w:fldChar w:fldCharType="end"/>
    </w:r>
    <w:r>
      <w:rPr>
        <w:rFonts w:ascii="Courier" w:hAnsi="Courier"/>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65B1DF" w14:textId="77777777" w:rsidR="001B5976" w:rsidRDefault="001B5976">
      <w:r>
        <w:rPr>
          <w:color w:val="000000"/>
        </w:rPr>
        <w:separator/>
      </w:r>
    </w:p>
  </w:footnote>
  <w:footnote w:type="continuationSeparator" w:id="0">
    <w:p w14:paraId="2DE748E8" w14:textId="77777777" w:rsidR="001B5976" w:rsidRDefault="001B59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066FFF" w14:textId="77777777" w:rsidR="001B5976" w:rsidRDefault="001B5976">
    <w:pPr>
      <w:pStyle w:val="Intestazione"/>
    </w:pPr>
  </w:p>
  <w:p w14:paraId="2F036CFE" w14:textId="77777777" w:rsidR="001B5976" w:rsidRDefault="001B5976">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274C10"/>
    <w:multiLevelType w:val="multilevel"/>
    <w:tmpl w:val="80A84008"/>
    <w:styleLink w:val="WWNum12"/>
    <w:lvl w:ilvl="0">
      <w:start w:val="1"/>
      <w:numFmt w:val="upperRoman"/>
      <w:lvlText w:val="%1)"/>
      <w:lvlJc w:val="left"/>
      <w:pPr>
        <w:ind w:left="720" w:hanging="360"/>
      </w:pPr>
      <w:rPr>
        <w:rFonts w:ascii="Times New Roman" w:eastAsia="Tahoma" w:hAnsi="Times New Roman" w:cs="Times New Roman"/>
        <w:b/>
        <w:i/>
        <w:caps w:val="0"/>
        <w:smallCaps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64EC6E17"/>
    <w:multiLevelType w:val="multilevel"/>
    <w:tmpl w:val="65CCE3D8"/>
    <w:lvl w:ilvl="0">
      <w:start w:val="1"/>
      <w:numFmt w:val="upperLetter"/>
      <w:lvlText w:val="%1)"/>
      <w:lvlJc w:val="left"/>
      <w:pPr>
        <w:ind w:left="720" w:hanging="360"/>
      </w:pPr>
      <w:rPr>
        <w:b/>
        <w:i/>
        <w:caps w:val="0"/>
        <w:smallCaps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16cid:durableId="2116905302">
    <w:abstractNumId w:val="0"/>
  </w:num>
  <w:num w:numId="2" w16cid:durableId="7007390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09"/>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1B36F0"/>
    <w:rsid w:val="001B36F0"/>
    <w:rsid w:val="001B5976"/>
    <w:rsid w:val="00AD47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832C6"/>
  <w15:docId w15:val="{58324007-F627-4010-B3D5-C844D9FDC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ahoma" w:hAnsi="Times New Roman" w:cs="Tahoma"/>
        <w:sz w:val="24"/>
        <w:szCs w:val="24"/>
        <w:lang w:val="it-IT" w:eastAsia="it-IT"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suppressAutoHyphens/>
    </w:pPr>
    <w:rPr>
      <w:kern w:val="3"/>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widowControl w:val="0"/>
      <w:suppressAutoHyphens/>
    </w:pPr>
    <w:rPr>
      <w:kern w:val="3"/>
    </w:rPr>
  </w:style>
  <w:style w:type="paragraph" w:customStyle="1" w:styleId="Normale1">
    <w:name w:val="Normale1"/>
    <w:pPr>
      <w:widowControl w:val="0"/>
      <w:suppressAutoHyphens/>
    </w:pPr>
    <w:rPr>
      <w:kern w:val="3"/>
    </w:rPr>
  </w:style>
  <w:style w:type="paragraph" w:styleId="Corpotesto">
    <w:name w:val="Body Text"/>
    <w:basedOn w:val="Normale"/>
    <w:pPr>
      <w:spacing w:after="120"/>
    </w:pPr>
  </w:style>
  <w:style w:type="paragraph" w:customStyle="1" w:styleId="Corpodeltesto21">
    <w:name w:val="Corpo del testo 21"/>
    <w:basedOn w:val="Normale"/>
    <w:pPr>
      <w:spacing w:after="120" w:line="480" w:lineRule="auto"/>
    </w:pPr>
    <w:rPr>
      <w:rFonts w:ascii="Century Schoolbook" w:eastAsia="Century Schoolbook" w:hAnsi="Century Schoolbook" w:cs="Century Schoolbook"/>
    </w:rPr>
  </w:style>
  <w:style w:type="paragraph" w:styleId="Pidipagina">
    <w:name w:val="footer"/>
    <w:basedOn w:val="Normale"/>
    <w:pPr>
      <w:suppressLineNumbers/>
      <w:tabs>
        <w:tab w:val="center" w:pos="4818"/>
        <w:tab w:val="right" w:pos="9637"/>
      </w:tabs>
    </w:pPr>
  </w:style>
  <w:style w:type="paragraph" w:styleId="Intestazione">
    <w:name w:val="header"/>
    <w:basedOn w:val="Normale"/>
    <w:pPr>
      <w:suppressLineNumbers/>
      <w:tabs>
        <w:tab w:val="center" w:pos="4309"/>
        <w:tab w:val="right" w:pos="8618"/>
      </w:tabs>
    </w:pPr>
  </w:style>
  <w:style w:type="paragraph" w:customStyle="1" w:styleId="Default">
    <w:name w:val="Default"/>
    <w:pPr>
      <w:suppressAutoHyphens/>
    </w:pPr>
    <w:rPr>
      <w:color w:val="000000"/>
      <w:kern w:val="3"/>
    </w:rPr>
  </w:style>
  <w:style w:type="paragraph" w:customStyle="1" w:styleId="Normale0">
    <w:name w:val="[Normale]"/>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uppressAutoHyphens/>
    </w:pPr>
    <w:rPr>
      <w:rFonts w:ascii="Arial" w:eastAsia="Arial" w:hAnsi="Arial" w:cs="Arial"/>
      <w:kern w:val="3"/>
    </w:rPr>
  </w:style>
  <w:style w:type="paragraph" w:customStyle="1" w:styleId="Textbody">
    <w:name w:val="Text body"/>
    <w:basedOn w:val="Normale"/>
    <w:pPr>
      <w:spacing w:after="120"/>
    </w:pPr>
  </w:style>
  <w:style w:type="paragraph" w:styleId="Paragrafoelenco">
    <w:name w:val="List Paragraph"/>
    <w:basedOn w:val="Normale"/>
    <w:pPr>
      <w:ind w:left="720"/>
    </w:pPr>
  </w:style>
  <w:style w:type="character" w:customStyle="1" w:styleId="Carpredefinitoparagrafo1">
    <w:name w:val="Car. predefinito paragrafo1"/>
  </w:style>
  <w:style w:type="character" w:customStyle="1" w:styleId="RTFNum21">
    <w:name w:val="RTF_Num 2 1"/>
    <w:rPr>
      <w:rFonts w:cs="Times New Roman"/>
      <w:b/>
      <w:bCs/>
      <w:i/>
      <w:iCs/>
      <w:caps w:val="0"/>
      <w:smallCaps w:val="0"/>
    </w:rPr>
  </w:style>
  <w:style w:type="character" w:customStyle="1" w:styleId="RTFNum22">
    <w:name w:val="RTF_Num 2 2"/>
    <w:rPr>
      <w:rFonts w:cs="Times New Roman"/>
    </w:rPr>
  </w:style>
  <w:style w:type="character" w:customStyle="1" w:styleId="RTFNum23">
    <w:name w:val="RTF_Num 2 3"/>
    <w:rPr>
      <w:rFonts w:cs="Times New Roman"/>
    </w:rPr>
  </w:style>
  <w:style w:type="character" w:customStyle="1" w:styleId="RTFNum24">
    <w:name w:val="RTF_Num 2 4"/>
    <w:rPr>
      <w:rFonts w:cs="Times New Roman"/>
    </w:rPr>
  </w:style>
  <w:style w:type="character" w:customStyle="1" w:styleId="RTFNum25">
    <w:name w:val="RTF_Num 2 5"/>
    <w:rPr>
      <w:rFonts w:cs="Times New Roman"/>
    </w:rPr>
  </w:style>
  <w:style w:type="character" w:customStyle="1" w:styleId="RTFNum26">
    <w:name w:val="RTF_Num 2 6"/>
    <w:rPr>
      <w:rFonts w:cs="Times New Roman"/>
    </w:rPr>
  </w:style>
  <w:style w:type="character" w:customStyle="1" w:styleId="RTFNum27">
    <w:name w:val="RTF_Num 2 7"/>
    <w:rPr>
      <w:rFonts w:cs="Times New Roman"/>
    </w:rPr>
  </w:style>
  <w:style w:type="character" w:customStyle="1" w:styleId="RTFNum28">
    <w:name w:val="RTF_Num 2 8"/>
    <w:rPr>
      <w:rFonts w:cs="Times New Roman"/>
    </w:rPr>
  </w:style>
  <w:style w:type="character" w:customStyle="1" w:styleId="RTFNum29">
    <w:name w:val="RTF_Num 2 9"/>
    <w:rPr>
      <w:rFonts w:cs="Times New Roman"/>
    </w:rPr>
  </w:style>
  <w:style w:type="character" w:customStyle="1" w:styleId="RTFNum31">
    <w:name w:val="RTF_Num 3 1"/>
    <w:rPr>
      <w:rFonts w:ascii="Symbol" w:eastAsia="Symbol" w:hAnsi="Symbol" w:cs="Symbol"/>
      <w:sz w:val="24"/>
      <w:szCs w:val="24"/>
    </w:rPr>
  </w:style>
  <w:style w:type="character" w:customStyle="1" w:styleId="RTFNum32">
    <w:name w:val="RTF_Num 3 2"/>
    <w:rPr>
      <w:rFonts w:ascii="Symbol" w:eastAsia="Symbol" w:hAnsi="Symbol" w:cs="Symbol"/>
      <w:sz w:val="24"/>
      <w:szCs w:val="24"/>
    </w:rPr>
  </w:style>
  <w:style w:type="character" w:customStyle="1" w:styleId="RTFNum33">
    <w:name w:val="RTF_Num 3 3"/>
    <w:rPr>
      <w:rFonts w:cs="Times New Roman"/>
    </w:rPr>
  </w:style>
  <w:style w:type="character" w:customStyle="1" w:styleId="RTFNum34">
    <w:name w:val="RTF_Num 3 4"/>
    <w:rPr>
      <w:rFonts w:cs="Times New Roman"/>
    </w:rPr>
  </w:style>
  <w:style w:type="character" w:customStyle="1" w:styleId="RTFNum35">
    <w:name w:val="RTF_Num 3 5"/>
    <w:rPr>
      <w:rFonts w:cs="Times New Roman"/>
    </w:rPr>
  </w:style>
  <w:style w:type="character" w:customStyle="1" w:styleId="RTFNum36">
    <w:name w:val="RTF_Num 3 6"/>
    <w:rPr>
      <w:rFonts w:cs="Times New Roman"/>
    </w:rPr>
  </w:style>
  <w:style w:type="character" w:customStyle="1" w:styleId="RTFNum37">
    <w:name w:val="RTF_Num 3 7"/>
    <w:rPr>
      <w:rFonts w:cs="Times New Roman"/>
    </w:rPr>
  </w:style>
  <w:style w:type="character" w:customStyle="1" w:styleId="RTFNum38">
    <w:name w:val="RTF_Num 3 8"/>
    <w:rPr>
      <w:rFonts w:cs="Times New Roman"/>
    </w:rPr>
  </w:style>
  <w:style w:type="character" w:customStyle="1" w:styleId="RTFNum39">
    <w:name w:val="RTF_Num 3 9"/>
    <w:rPr>
      <w:rFonts w:cs="Times New Roman"/>
    </w:rPr>
  </w:style>
  <w:style w:type="character" w:customStyle="1" w:styleId="RTFNum41">
    <w:name w:val="RTF_Num 4 1"/>
    <w:rPr>
      <w:rFonts w:ascii="Wingdings" w:eastAsia="Wingdings" w:hAnsi="Wingdings" w:cs="Wingdings"/>
    </w:rPr>
  </w:style>
  <w:style w:type="character" w:customStyle="1" w:styleId="RTFNum42">
    <w:name w:val="RTF_Num 4 2"/>
    <w:rPr>
      <w:rFonts w:ascii="Courier New" w:eastAsia="Courier New" w:hAnsi="Courier New" w:cs="Courier New"/>
    </w:rPr>
  </w:style>
  <w:style w:type="character" w:customStyle="1" w:styleId="RTFNum43">
    <w:name w:val="RTF_Num 4 3"/>
    <w:rPr>
      <w:rFonts w:cs="Times New Roman"/>
    </w:rPr>
  </w:style>
  <w:style w:type="character" w:customStyle="1" w:styleId="RTFNum44">
    <w:name w:val="RTF_Num 4 4"/>
    <w:rPr>
      <w:rFonts w:cs="Times New Roman"/>
    </w:rPr>
  </w:style>
  <w:style w:type="character" w:customStyle="1" w:styleId="RTFNum45">
    <w:name w:val="RTF_Num 4 5"/>
    <w:rPr>
      <w:rFonts w:cs="Times New Roman"/>
    </w:rPr>
  </w:style>
  <w:style w:type="character" w:customStyle="1" w:styleId="RTFNum46">
    <w:name w:val="RTF_Num 4 6"/>
    <w:rPr>
      <w:rFonts w:cs="Times New Roman"/>
    </w:rPr>
  </w:style>
  <w:style w:type="character" w:customStyle="1" w:styleId="RTFNum47">
    <w:name w:val="RTF_Num 4 7"/>
    <w:rPr>
      <w:rFonts w:cs="Times New Roman"/>
    </w:rPr>
  </w:style>
  <w:style w:type="character" w:customStyle="1" w:styleId="RTFNum48">
    <w:name w:val="RTF_Num 4 8"/>
    <w:rPr>
      <w:rFonts w:cs="Times New Roman"/>
    </w:rPr>
  </w:style>
  <w:style w:type="character" w:customStyle="1" w:styleId="RTFNum49">
    <w:name w:val="RTF_Num 4 9"/>
    <w:rPr>
      <w:rFonts w:cs="Times New Roman"/>
    </w:rPr>
  </w:style>
  <w:style w:type="character" w:customStyle="1" w:styleId="RTFNum51">
    <w:name w:val="RTF_Num 5 1"/>
    <w:rPr>
      <w:rFonts w:ascii="Symbol" w:eastAsia="Symbol" w:hAnsi="Symbol" w:cs="Symbol"/>
    </w:rPr>
  </w:style>
  <w:style w:type="character" w:customStyle="1" w:styleId="RTFNum52">
    <w:name w:val="RTF_Num 5 2"/>
    <w:rPr>
      <w:rFonts w:cs="Times New Roman"/>
    </w:rPr>
  </w:style>
  <w:style w:type="character" w:customStyle="1" w:styleId="RTFNum53">
    <w:name w:val="RTF_Num 5 3"/>
    <w:rPr>
      <w:rFonts w:cs="Times New Roman"/>
    </w:rPr>
  </w:style>
  <w:style w:type="character" w:customStyle="1" w:styleId="RTFNum54">
    <w:name w:val="RTF_Num 5 4"/>
    <w:rPr>
      <w:rFonts w:cs="Times New Roman"/>
    </w:rPr>
  </w:style>
  <w:style w:type="character" w:customStyle="1" w:styleId="RTFNum55">
    <w:name w:val="RTF_Num 5 5"/>
    <w:rPr>
      <w:rFonts w:cs="Times New Roman"/>
    </w:rPr>
  </w:style>
  <w:style w:type="character" w:customStyle="1" w:styleId="RTFNum56">
    <w:name w:val="RTF_Num 5 6"/>
    <w:rPr>
      <w:rFonts w:cs="Times New Roman"/>
    </w:rPr>
  </w:style>
  <w:style w:type="character" w:customStyle="1" w:styleId="RTFNum57">
    <w:name w:val="RTF_Num 5 7"/>
    <w:rPr>
      <w:rFonts w:cs="Times New Roman"/>
    </w:rPr>
  </w:style>
  <w:style w:type="character" w:customStyle="1" w:styleId="RTFNum58">
    <w:name w:val="RTF_Num 5 8"/>
    <w:rPr>
      <w:rFonts w:cs="Times New Roman"/>
    </w:rPr>
  </w:style>
  <w:style w:type="character" w:customStyle="1" w:styleId="RTFNum59">
    <w:name w:val="RTF_Num 5 9"/>
    <w:rPr>
      <w:rFonts w:cs="Times New Roman"/>
    </w:rPr>
  </w:style>
  <w:style w:type="character" w:customStyle="1" w:styleId="RTFNum61">
    <w:name w:val="RTF_Num 6 1"/>
    <w:rPr>
      <w:rFonts w:cs="Times New Roman"/>
      <w:b/>
      <w:bCs/>
      <w:i/>
      <w:iCs/>
      <w:caps w:val="0"/>
      <w:smallCaps w:val="0"/>
    </w:rPr>
  </w:style>
  <w:style w:type="character" w:customStyle="1" w:styleId="RTFNum62">
    <w:name w:val="RTF_Num 6 2"/>
    <w:rPr>
      <w:rFonts w:cs="Times New Roman"/>
    </w:rPr>
  </w:style>
  <w:style w:type="character" w:customStyle="1" w:styleId="RTFNum63">
    <w:name w:val="RTF_Num 6 3"/>
    <w:rPr>
      <w:rFonts w:cs="Times New Roman"/>
    </w:rPr>
  </w:style>
  <w:style w:type="character" w:customStyle="1" w:styleId="RTFNum64">
    <w:name w:val="RTF_Num 6 4"/>
    <w:rPr>
      <w:rFonts w:cs="Times New Roman"/>
    </w:rPr>
  </w:style>
  <w:style w:type="character" w:customStyle="1" w:styleId="RTFNum65">
    <w:name w:val="RTF_Num 6 5"/>
    <w:rPr>
      <w:rFonts w:cs="Times New Roman"/>
    </w:rPr>
  </w:style>
  <w:style w:type="character" w:customStyle="1" w:styleId="RTFNum66">
    <w:name w:val="RTF_Num 6 6"/>
    <w:rPr>
      <w:rFonts w:cs="Times New Roman"/>
    </w:rPr>
  </w:style>
  <w:style w:type="character" w:customStyle="1" w:styleId="RTFNum67">
    <w:name w:val="RTF_Num 6 7"/>
    <w:rPr>
      <w:rFonts w:cs="Times New Roman"/>
    </w:rPr>
  </w:style>
  <w:style w:type="character" w:customStyle="1" w:styleId="RTFNum68">
    <w:name w:val="RTF_Num 6 8"/>
    <w:rPr>
      <w:rFonts w:cs="Times New Roman"/>
    </w:rPr>
  </w:style>
  <w:style w:type="character" w:customStyle="1" w:styleId="RTFNum69">
    <w:name w:val="RTF_Num 6 9"/>
    <w:rPr>
      <w:rFonts w:cs="Times New Roman"/>
    </w:rPr>
  </w:style>
  <w:style w:type="character" w:customStyle="1" w:styleId="RTFNum71">
    <w:name w:val="RTF_Num 7 1"/>
    <w:rPr>
      <w:rFonts w:ascii="Symbol" w:eastAsia="Symbol" w:hAnsi="Symbol" w:cs="Symbol"/>
    </w:rPr>
  </w:style>
  <w:style w:type="character" w:customStyle="1" w:styleId="RTFNum72">
    <w:name w:val="RTF_Num 7 2"/>
    <w:rPr>
      <w:rFonts w:cs="Times New Roman"/>
    </w:rPr>
  </w:style>
  <w:style w:type="character" w:customStyle="1" w:styleId="RTFNum73">
    <w:name w:val="RTF_Num 7 3"/>
    <w:rPr>
      <w:rFonts w:cs="Times New Roman"/>
    </w:rPr>
  </w:style>
  <w:style w:type="character" w:customStyle="1" w:styleId="RTFNum74">
    <w:name w:val="RTF_Num 7 4"/>
    <w:rPr>
      <w:rFonts w:cs="Times New Roman"/>
    </w:rPr>
  </w:style>
  <w:style w:type="character" w:customStyle="1" w:styleId="RTFNum75">
    <w:name w:val="RTF_Num 7 5"/>
    <w:rPr>
      <w:rFonts w:cs="Times New Roman"/>
    </w:rPr>
  </w:style>
  <w:style w:type="character" w:customStyle="1" w:styleId="RTFNum76">
    <w:name w:val="RTF_Num 7 6"/>
    <w:rPr>
      <w:rFonts w:cs="Times New Roman"/>
    </w:rPr>
  </w:style>
  <w:style w:type="character" w:customStyle="1" w:styleId="RTFNum77">
    <w:name w:val="RTF_Num 7 7"/>
    <w:rPr>
      <w:rFonts w:cs="Times New Roman"/>
    </w:rPr>
  </w:style>
  <w:style w:type="character" w:customStyle="1" w:styleId="RTFNum78">
    <w:name w:val="RTF_Num 7 8"/>
    <w:rPr>
      <w:rFonts w:cs="Times New Roman"/>
    </w:rPr>
  </w:style>
  <w:style w:type="character" w:customStyle="1" w:styleId="RTFNum79">
    <w:name w:val="RTF_Num 7 9"/>
    <w:rPr>
      <w:rFonts w:cs="Times New Roman"/>
    </w:rPr>
  </w:style>
  <w:style w:type="character" w:customStyle="1" w:styleId="RTFNum81">
    <w:name w:val="RTF_Num 8 1"/>
    <w:rPr>
      <w:rFonts w:cs="Times New Roman"/>
    </w:rPr>
  </w:style>
  <w:style w:type="character" w:customStyle="1" w:styleId="RTFNum82">
    <w:name w:val="RTF_Num 8 2"/>
    <w:rPr>
      <w:rFonts w:ascii="Symbol" w:eastAsia="Symbol" w:hAnsi="Symbol" w:cs="Symbol"/>
    </w:rPr>
  </w:style>
  <w:style w:type="character" w:customStyle="1" w:styleId="RTFNum83">
    <w:name w:val="RTF_Num 8 3"/>
    <w:rPr>
      <w:rFonts w:cs="Times New Roman"/>
    </w:rPr>
  </w:style>
  <w:style w:type="character" w:customStyle="1" w:styleId="RTFNum84">
    <w:name w:val="RTF_Num 8 4"/>
    <w:rPr>
      <w:rFonts w:cs="Times New Roman"/>
    </w:rPr>
  </w:style>
  <w:style w:type="character" w:customStyle="1" w:styleId="RTFNum85">
    <w:name w:val="RTF_Num 8 5"/>
    <w:rPr>
      <w:rFonts w:cs="Times New Roman"/>
    </w:rPr>
  </w:style>
  <w:style w:type="character" w:customStyle="1" w:styleId="RTFNum86">
    <w:name w:val="RTF_Num 8 6"/>
    <w:rPr>
      <w:rFonts w:cs="Times New Roman"/>
    </w:rPr>
  </w:style>
  <w:style w:type="character" w:customStyle="1" w:styleId="RTFNum87">
    <w:name w:val="RTF_Num 8 7"/>
    <w:rPr>
      <w:rFonts w:cs="Times New Roman"/>
    </w:rPr>
  </w:style>
  <w:style w:type="character" w:customStyle="1" w:styleId="RTFNum88">
    <w:name w:val="RTF_Num 8 8"/>
    <w:rPr>
      <w:rFonts w:cs="Times New Roman"/>
    </w:rPr>
  </w:style>
  <w:style w:type="character" w:customStyle="1" w:styleId="RTFNum89">
    <w:name w:val="RTF_Num 8 9"/>
    <w:rPr>
      <w:rFonts w:cs="Times New Roman"/>
    </w:rPr>
  </w:style>
  <w:style w:type="character" w:customStyle="1" w:styleId="CorpodeltestoCarattere">
    <w:name w:val="Corpo del testo Carattere"/>
    <w:rPr>
      <w:rFonts w:ascii="Century Schoolbook" w:eastAsia="Century Schoolbook" w:hAnsi="Century Schoolbook" w:cs="Century Schoolbook"/>
      <w:sz w:val="20"/>
      <w:szCs w:val="20"/>
      <w:lang w:eastAsia="it-IT"/>
    </w:rPr>
  </w:style>
  <w:style w:type="character" w:customStyle="1" w:styleId="Corpodeltesto2Carattere">
    <w:name w:val="Corpo del testo 2 Carattere"/>
    <w:rPr>
      <w:rFonts w:ascii="Century Schoolbook" w:eastAsia="Century Schoolbook" w:hAnsi="Century Schoolbook" w:cs="Century Schoolbook"/>
      <w:sz w:val="20"/>
      <w:szCs w:val="20"/>
      <w:lang w:eastAsia="it-IT"/>
    </w:rPr>
  </w:style>
  <w:style w:type="character" w:customStyle="1" w:styleId="Enfasicorsivo1">
    <w:name w:val="Enfasi (corsivo)1"/>
    <w:rPr>
      <w:i/>
      <w:iCs/>
    </w:rPr>
  </w:style>
  <w:style w:type="character" w:customStyle="1" w:styleId="PidipaginaCarattere">
    <w:name w:val="Piè di pagina Carattere"/>
    <w:rPr>
      <w:rFonts w:cs="Times New Roman"/>
    </w:rPr>
  </w:style>
  <w:style w:type="character" w:customStyle="1" w:styleId="ListLabel3">
    <w:name w:val="ListLabel 3"/>
    <w:rPr>
      <w:b/>
      <w:i/>
      <w:caps w:val="0"/>
      <w:smallCaps w:val="0"/>
    </w:rPr>
  </w:style>
  <w:style w:type="character" w:customStyle="1" w:styleId="ListLabel1">
    <w:name w:val="ListLabel 1"/>
    <w:rPr>
      <w:rFonts w:cs="Courier New"/>
    </w:rPr>
  </w:style>
  <w:style w:type="character" w:customStyle="1" w:styleId="BulletSymbols">
    <w:name w:val="Bullet Symbols"/>
    <w:rPr>
      <w:rFonts w:ascii="OpenSymbol" w:eastAsia="OpenSymbol" w:hAnsi="OpenSymbol" w:cs="OpenSymbol"/>
    </w:rPr>
  </w:style>
  <w:style w:type="character" w:styleId="Collegamentoipertestuale">
    <w:name w:val="Hyperlink"/>
    <w:rPr>
      <w:color w:val="0563C1"/>
      <w:u w:val="single"/>
    </w:rPr>
  </w:style>
  <w:style w:type="character" w:styleId="Menzionenonrisolta">
    <w:name w:val="Unresolved Mention"/>
    <w:rPr>
      <w:color w:val="605E5C"/>
      <w:shd w:val="clear" w:color="auto" w:fill="E1DFDD"/>
    </w:rPr>
  </w:style>
  <w:style w:type="character" w:customStyle="1" w:styleId="Internetlink">
    <w:name w:val="Internet link"/>
    <w:rPr>
      <w:color w:val="000080"/>
      <w:u w:val="single"/>
    </w:rPr>
  </w:style>
  <w:style w:type="numbering" w:customStyle="1" w:styleId="WWNum12">
    <w:name w:val="WWNum12"/>
    <w:basedOn w:val="Nessunelenco"/>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44DB7BFFE11C04CBF363F6EE7DC7C3F" ma:contentTypeVersion="15" ma:contentTypeDescription="Creare un nuovo documento." ma:contentTypeScope="" ma:versionID="78eae0dd070bba8241ff63189808e2ba">
  <xsd:schema xmlns:xsd="http://www.w3.org/2001/XMLSchema" xmlns:xs="http://www.w3.org/2001/XMLSchema" xmlns:p="http://schemas.microsoft.com/office/2006/metadata/properties" xmlns:ns2="b25b94c1-9e57-4c19-8ab6-1ac7200736b4" xmlns:ns3="091c0f97-b01d-4a8b-8cbd-4d8893457c78" targetNamespace="http://schemas.microsoft.com/office/2006/metadata/properties" ma:root="true" ma:fieldsID="a7f02f3f041905852b56024b6722fe45" ns2:_="" ns3:_="">
    <xsd:import namespace="b25b94c1-9e57-4c19-8ab6-1ac7200736b4"/>
    <xsd:import namespace="091c0f97-b01d-4a8b-8cbd-4d8893457c7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5b94c1-9e57-4c19-8ab6-1ac7200736b4"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TaxCatchAll" ma:index="14" nillable="true" ma:displayName="Taxonomy Catch All Column" ma:hidden="true" ma:list="{c25efae2-a949-44fe-9446-baed6dedae79}" ma:internalName="TaxCatchAll" ma:showField="CatchAllData" ma:web="b25b94c1-9e57-4c19-8ab6-1ac7200736b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91c0f97-b01d-4a8b-8cbd-4d8893457c7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description="" ma:hidden="true" ma:indexed="true" ma:internalName="MediaServiceDateTaken"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25b94c1-9e57-4c19-8ab6-1ac7200736b4" xsi:nil="true"/>
    <lcf76f155ced4ddcb4097134ff3c332f xmlns="091c0f97-b01d-4a8b-8cbd-4d8893457c7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D2E2D11-38FE-4BA7-97FD-A58B6DAFDF41}"/>
</file>

<file path=customXml/itemProps2.xml><?xml version="1.0" encoding="utf-8"?>
<ds:datastoreItem xmlns:ds="http://schemas.openxmlformats.org/officeDocument/2006/customXml" ds:itemID="{08EBEA20-E018-44AD-81CF-58FB400D7944}"/>
</file>

<file path=customXml/itemProps3.xml><?xml version="1.0" encoding="utf-8"?>
<ds:datastoreItem xmlns:ds="http://schemas.openxmlformats.org/officeDocument/2006/customXml" ds:itemID="{8268E2DC-3642-4EAB-B767-3DC31992AB1A}"/>
</file>

<file path=docProps/app.xml><?xml version="1.0" encoding="utf-8"?>
<Properties xmlns="http://schemas.openxmlformats.org/officeDocument/2006/extended-properties" xmlns:vt="http://schemas.openxmlformats.org/officeDocument/2006/docPropsVTypes">
  <Template>Normal</Template>
  <TotalTime>3</TotalTime>
  <Pages>9</Pages>
  <Words>2654</Words>
  <Characters>15130</Characters>
  <Application>Microsoft Office Word</Application>
  <DocSecurity>4</DocSecurity>
  <Lines>126</Lines>
  <Paragraphs>35</Paragraphs>
  <ScaleCrop>false</ScaleCrop>
  <Company>Ministero della Giustizia</Company>
  <LinksUpToDate>false</LinksUpToDate>
  <CharactersWithSpaces>17749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PCB</dc:creator>
  <cp:lastModifiedBy>Camilla Sommariva</cp:lastModifiedBy>
  <cp:revision>2</cp:revision>
  <cp:lastPrinted>2023-03-07T16:07:00Z</cp:lastPrinted>
  <dcterms:created xsi:type="dcterms:W3CDTF">2024-06-04T10:11:00Z</dcterms:created>
  <dcterms:modified xsi:type="dcterms:W3CDTF">2024-06-04T10:11:00Z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PAGINA">
    <vt:lpwstr> </vt:lpwstr>
  </property>
  <property fmtid="{D5CDD505-2E9C-101B-9397-08002B2CF9AE}" pid="3" name="IMPAGINA A">
    <vt:lpwstr>' '</vt:lpwstr>
  </property>
  <property fmtid="{D5CDD505-2E9C-101B-9397-08002B2CF9AE}" pid="4" name="Info 2">
    <vt:lpwstr>' '</vt:lpwstr>
  </property>
  <property fmtid="{D5CDD505-2E9C-101B-9397-08002B2CF9AE}" pid="5" name="ContentTypeId">
    <vt:lpwstr>0x010100F44DB7BFFE11C04CBF363F6EE7DC7C3F</vt:lpwstr>
  </property>
</Properties>
</file>